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preliminar</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10/11/2022</w:t>
      </w:r>
    </w:p>
    <w:p>
      <w:pPr>
        <w:pStyle w:val="FirstParagraph"/>
      </w:pPr>
      <w:r>
        <w:t xml:space="preserve">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ação de instauração da arbitragem v) compromisso arbitral.</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Start w:id="23" w:name="download"/>
    <w:p>
      <w:pPr>
        <w:pStyle w:val="Ttulo2"/>
      </w:pPr>
      <w:r>
        <w:t xml:space="preserve">Download</w:t>
      </w:r>
    </w:p>
    <w:p>
      <w:pPr>
        <w:pStyle w:val="FirstParagraph"/>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tribunal, no entanto, disponibiliza ferramentas de consulta. Na</w:t>
      </w:r>
      <w:r>
        <w:t xml:space="preserve"> </w:t>
      </w:r>
      <w:hyperlink r:id="rId20">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1">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2"/>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bookmarkEnd w:id="23"/>
    <w:bookmarkStart w:id="29" w:name="arrumação"/>
    <w:p>
      <w:pPr>
        <w:pStyle w:val="Ttulo2"/>
      </w:pPr>
      <w:r>
        <w:t xml:space="preserve">Arrumação</w:t>
      </w:r>
    </w:p>
    <w:p>
      <w:pPr>
        <w:pStyle w:val="FirstParagraph"/>
      </w:pPr>
      <w:r>
        <w:t xml:space="preserve">O primeiro passo da arrumação dos dados foi a classificação dos tipos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4" w:name="tbl-rx-tipo"/>
    <w:p>
      <w:pPr>
        <w:pStyle w:val="TableCaption"/>
      </w:pPr>
      <w:r>
        <w:t xml:space="preserve">Tabela 1: Expressões regulares utilizadas para classificar o tipo de ação</w:t>
      </w:r>
    </w:p>
    <w:tbl>
      <w:tblPr>
        <w:tblStyle w:val="Table"/>
        <w:tblW w:type="auto" w:w="0"/>
        <w:tblLook w:firstRow="1" w:lastRow="0" w:firstColumn="0" w:lastColumn="0" w:noHBand="0" w:noVBand="0" w:val="0020"/>
        <w:tblCaption w:val="Tabela 1: Expressões regulares utilizadas para classificar o tipo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Compromisso</w:t>
            </w:r>
          </w:p>
        </w:tc>
        <w:tc>
          <w:tcPr/>
          <w:p>
            <w:pPr>
              <w:pStyle w:val="Compact"/>
              <w:jc w:val="left"/>
            </w:pPr>
            <w:r>
              <w:t xml:space="preserve">compromisso arbitral</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Cautelar</w:t>
            </w:r>
          </w:p>
        </w:tc>
        <w:tc>
          <w:tcPr/>
          <w:p>
            <w:pPr>
              <w:pStyle w:val="Compact"/>
              <w:jc w:val="left"/>
            </w:pPr>
            <w:r>
              <w:t xml:space="preserve">cautelar, antecipada</w:t>
            </w:r>
          </w:p>
        </w:tc>
      </w:tr>
      <w:tr>
        <w:tc>
          <w:tcPr/>
          <w:p>
            <w:pPr>
              <w:pStyle w:val="Compact"/>
              <w:jc w:val="left"/>
            </w:pPr>
            <w:r>
              <w:t xml:space="preserve">Anulacao</w:t>
            </w:r>
          </w:p>
        </w:tc>
        <w:tc>
          <w:tcPr/>
          <w:p>
            <w:pPr>
              <w:pStyle w:val="Compact"/>
              <w:jc w:val="left"/>
            </w:pPr>
            <w:r>
              <w:t xml:space="preserve">anulacao, nulidade</w:t>
            </w:r>
          </w:p>
        </w:tc>
      </w:tr>
      <w:tr>
        <w:tc>
          <w:tcPr/>
          <w:p>
            <w:pPr>
              <w:pStyle w:val="Compact"/>
              <w:jc w:val="left"/>
            </w:pPr>
            <w:r>
              <w:t xml:space="preserve">Cumprimento</w:t>
            </w:r>
          </w:p>
        </w:tc>
        <w:tc>
          <w:tcPr/>
          <w:p>
            <w:pPr>
              <w:pStyle w:val="Compact"/>
              <w:jc w:val="left"/>
            </w:pPr>
            <w:r>
              <w:t xml:space="preserve">cumprimento</w:t>
            </w:r>
          </w:p>
        </w:tc>
      </w:tr>
    </w:tbl>
    <w:bookmarkEnd w:id="24"/>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que caiu em cada categoria. É importante destacar que toda classificação automática pode incorrer em erros, ou seja, pode ser que as categorias finais fiquem incorretas. Os casos vazios foram retirados.</w:t>
      </w:r>
    </w:p>
    <w:bookmarkStart w:id="25" w:name="tbl-tabela-tipo"/>
    <w:p>
      <w:pPr>
        <w:pStyle w:val="TableCaption"/>
      </w:pPr>
      <w:r>
        <w:t xml:space="preserve">Tabela 2: Processos classificados por tipo</w:t>
      </w:r>
    </w:p>
    <w:tbl>
      <w:tblPr>
        <w:tblStyle w:val="Table"/>
        <w:tblW w:type="auto" w:w="0"/>
        <w:tblLook w:firstRow="1" w:lastRow="0" w:firstColumn="0" w:lastColumn="0" w:noHBand="0" w:noVBand="0" w:val="0020"/>
        <w:tblCaption w:val="Tabela 2: Processos classificados por tip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Compromisso</w:t>
            </w:r>
          </w:p>
        </w:tc>
        <w:tc>
          <w:tcPr/>
          <w:p>
            <w:pPr>
              <w:pStyle w:val="Compact"/>
              <w:jc w:val="right"/>
            </w:pPr>
            <w:r>
              <w:t xml:space="preserve">135</w:t>
            </w:r>
          </w:p>
        </w:tc>
        <w:tc>
          <w:tcPr/>
          <w:p>
            <w:pPr>
              <w:pStyle w:val="Compact"/>
              <w:jc w:val="right"/>
            </w:pPr>
            <w:r>
              <w:t xml:space="preserve">39.94%</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24.56%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13.02%</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10.36%</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10.06%</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2.07%</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100.00%</w:t>
            </w:r>
          </w:p>
        </w:tc>
      </w:tr>
    </w:tbl>
    <w:bookmarkEnd w:id="25"/>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6"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tblCaption w:val="Tabela 3: Expressões regulares utilizadas para classificar o resultado"/>
      </w:tblPr>
      <w:tblGrid>
        <w:gridCol w:w="1095"/>
        <w:gridCol w:w="6824"/>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Improcedente</w:t>
            </w:r>
          </w:p>
        </w:tc>
        <w:tc>
          <w:tcPr/>
          <w:p>
            <w:pPr>
              <w:pStyle w:val="Compact"/>
              <w:jc w:val="left"/>
            </w:pPr>
            <w:r>
              <w:t xml:space="preserve">julgo improcedente, indefiro a tutela</w:t>
            </w:r>
          </w:p>
        </w:tc>
      </w:tr>
      <w:tr>
        <w:tc>
          <w:tcPr/>
          <w:p>
            <w:pPr>
              <w:pStyle w:val="Compact"/>
              <w:jc w:val="left"/>
            </w:pPr>
            <w:r>
              <w:t xml:space="preserve">Parcial</w:t>
            </w:r>
          </w:p>
        </w:tc>
        <w:tc>
          <w:tcPr/>
          <w:p>
            <w:pPr>
              <w:pStyle w:val="Compact"/>
              <w:jc w:val="left"/>
            </w:pPr>
            <w:r>
              <w:t xml:space="preserve">julgo procedente em parte, parcialmente procedente, defiro parcialmente a tutela</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Procedente</w:t>
            </w:r>
          </w:p>
        </w:tc>
        <w:tc>
          <w:tcPr/>
          <w:p>
            <w:pPr>
              <w:pStyle w:val="Compact"/>
              <w:jc w:val="left"/>
            </w:pPr>
            <w:r>
              <w:t xml:space="preserve">julgo (o pedido )?procedente, homologo, defiro a tutela</w:t>
            </w:r>
          </w:p>
        </w:tc>
      </w:tr>
      <w:tr>
        <w:tc>
          <w:tcPr/>
          <w:p>
            <w:pPr>
              <w:pStyle w:val="Compact"/>
              <w:jc w:val="left"/>
            </w:pPr>
            <w:r>
              <w:t xml:space="preserve">Extinto</w:t>
            </w:r>
          </w:p>
        </w:tc>
        <w:tc>
          <w:tcPr/>
          <w:p>
            <w:pPr>
              <w:pStyle w:val="Compact"/>
              <w:jc w:val="left"/>
            </w:pPr>
            <w:r>
              <w:t xml:space="preserve">julgo extinto, julgo extinta, determino a extincao, determinar a extincao</w:t>
            </w:r>
          </w:p>
        </w:tc>
      </w:tr>
    </w:tbl>
    <w:bookmarkEnd w:id="26"/>
    <w:p>
      <w:pPr>
        <w:pStyle w:val="Corpodetexto"/>
      </w:pPr>
      <w:r>
        <w:t xml:space="preserve">A</w:t>
      </w:r>
      <w:r>
        <w:t xml:space="preserve"> </w:t>
      </w:r>
      <w:hyperlink w:anchor="tbl-tabela-resultado">
        <w:r>
          <w:rPr>
            <w:rStyle w:val="Hyperlink"/>
          </w:rPr>
          <w:t xml:space="preserve">Tabela 4</w:t>
        </w:r>
      </w:hyperlink>
      <w:r>
        <w:t xml:space="preserve"> </w:t>
      </w:r>
      <w:r>
        <w:t xml:space="preserve">mostra a quantidade de processos que caiu em cada categoria de resultado. Novamente, a classificação automática pode incorrer em erros, ou seja, pode ser que os resultados finais estejam incorretos. Os casos vazios foram retirados da análise.</w:t>
      </w:r>
    </w:p>
    <w:bookmarkStart w:id="27" w:name="tbl-tabela-resultado"/>
    <w:p>
      <w:pPr>
        <w:pStyle w:val="TableCaption"/>
      </w:pPr>
      <w:r>
        <w:t xml:space="preserve">Tabela 4: Processos classificados por tipo</w:t>
      </w:r>
    </w:p>
    <w:tbl>
      <w:tblPr>
        <w:tblStyle w:val="Table"/>
        <w:tblW w:type="auto" w:w="0"/>
        <w:tblLook w:firstRow="1" w:lastRow="0" w:firstColumn="0" w:lastColumn="0" w:noHBand="0" w:noVBand="0" w:val="0020"/>
        <w:tblCaption w:val="Tabela 4: Processos classificados por tip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142</w:t>
            </w:r>
          </w:p>
        </w:tc>
        <w:tc>
          <w:tcPr/>
          <w:p>
            <w:pPr>
              <w:pStyle w:val="Compact"/>
              <w:jc w:val="right"/>
            </w:pPr>
            <w:r>
              <w:t xml:space="preserve">42.0%</w:t>
            </w:r>
          </w:p>
        </w:tc>
      </w:tr>
      <w:tr>
        <w:tc>
          <w:tcPr/>
          <w:p>
            <w:pPr>
              <w:pStyle w:val="Compact"/>
              <w:jc w:val="left"/>
            </w:pPr>
            <w:r>
              <w:t xml:space="preserve">Procedente</w:t>
            </w:r>
          </w:p>
        </w:tc>
        <w:tc>
          <w:tcPr/>
          <w:p>
            <w:pPr>
              <w:pStyle w:val="Compact"/>
              <w:jc w:val="right"/>
            </w:pPr>
            <w:r>
              <w:t xml:space="preserve">74</w:t>
            </w:r>
          </w:p>
        </w:tc>
        <w:tc>
          <w:tcPr/>
          <w:p>
            <w:pPr>
              <w:pStyle w:val="Compact"/>
              <w:jc w:val="right"/>
            </w:pPr>
            <w:r>
              <w:t xml:space="preserve">21.9%</w:t>
            </w:r>
          </w:p>
        </w:tc>
      </w:tr>
      <w:tr>
        <w:tc>
          <w:tcPr/>
          <w:p>
            <w:pPr>
              <w:pStyle w:val="Compact"/>
              <w:jc w:val="left"/>
            </w:pPr>
            <w:r>
              <w:t xml:space="preserve">Improcedente</w:t>
            </w:r>
          </w:p>
        </w:tc>
        <w:tc>
          <w:tcPr/>
          <w:p>
            <w:pPr>
              <w:pStyle w:val="Compact"/>
              <w:jc w:val="right"/>
            </w:pPr>
            <w:r>
              <w:t xml:space="preserve">70</w:t>
            </w:r>
          </w:p>
        </w:tc>
        <w:tc>
          <w:tcPr/>
          <w:p>
            <w:pPr>
              <w:pStyle w:val="Compact"/>
              <w:jc w:val="right"/>
            </w:pPr>
            <w:r>
              <w:t xml:space="preserve">20.7%</w:t>
            </w:r>
          </w:p>
        </w:tc>
      </w:tr>
      <w:tr>
        <w:tc>
          <w:tcPr/>
          <w:p>
            <w:pPr>
              <w:pStyle w:val="Compact"/>
              <w:jc w:val="left"/>
            </w:pPr>
            <w:r>
              <w:t xml:space="preserve">Parcial</w:t>
            </w:r>
          </w:p>
        </w:tc>
        <w:tc>
          <w:tcPr/>
          <w:p>
            <w:pPr>
              <w:pStyle w:val="Compact"/>
              <w:jc w:val="right"/>
            </w:pPr>
            <w:r>
              <w:t xml:space="preserve">27</w:t>
            </w:r>
          </w:p>
        </w:tc>
        <w:tc>
          <w:tcPr/>
          <w:p>
            <w:pPr>
              <w:pStyle w:val="Compact"/>
              <w:jc w:val="right"/>
            </w:pPr>
            <w:r>
              <w:t xml:space="preserve">8.0%</w:t>
            </w:r>
          </w:p>
        </w:tc>
      </w:tr>
      <w:tr>
        <w:tc>
          <w:tcPr/>
          <w:p>
            <w:pPr>
              <w:pStyle w:val="Compact"/>
              <w:jc w:val="left"/>
            </w:pPr>
            <w:r>
              <w:t xml:space="preserve">Acordo</w:t>
            </w:r>
          </w:p>
        </w:tc>
        <w:tc>
          <w:tcPr/>
          <w:p>
            <w:pPr>
              <w:pStyle w:val="Compact"/>
              <w:jc w:val="right"/>
            </w:pPr>
            <w:r>
              <w:t xml:space="preserve">21</w:t>
            </w:r>
          </w:p>
        </w:tc>
        <w:tc>
          <w:tcPr/>
          <w:p>
            <w:pPr>
              <w:pStyle w:val="Compact"/>
              <w:jc w:val="right"/>
            </w:pPr>
            <w:r>
              <w:t xml:space="preserve">6.2%</w:t>
            </w:r>
          </w:p>
        </w:tc>
      </w:tr>
      <w:tr>
        <w:tc>
          <w:tcPr/>
          <w:p>
            <w:pPr>
              <w:pStyle w:val="Compact"/>
              <w:jc w:val="left"/>
            </w:pPr>
            <w:r>
              <w:t xml:space="preserve">(Vazio)</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7"/>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pPr>
        <w:pStyle w:val="Corpodetexto"/>
      </w:pPr>
      <w:r>
        <w:t xml:space="preserve">No final, a base ficou com 326 linhas e 11 colunas, contendo todas as informações utilizadas na parte de análise. A base de dados em Excel pode ser baixada</w:t>
      </w:r>
      <w:r>
        <w:t xml:space="preserve"> </w:t>
      </w:r>
      <w:hyperlink r:id="rId28">
        <w:r>
          <w:rPr>
            <w:rStyle w:val="Hyperlink"/>
          </w:rPr>
          <w:t xml:space="preserve">neste link</w:t>
        </w:r>
      </w:hyperlink>
      <w:r>
        <w:t xml:space="preserve">.</w:t>
      </w:r>
    </w:p>
    <w:bookmarkEnd w:id="29"/>
    <w:bookmarkStart w:id="49" w:name="análise"/>
    <w:p>
      <w:pPr>
        <w:pStyle w:val="Ttulo2"/>
      </w:pPr>
      <w:r>
        <w:t xml:space="preserve">Análise</w:t>
      </w:r>
    </w:p>
    <w:p>
      <w:pPr>
        <w:pStyle w:val="FirstParagraph"/>
      </w:pPr>
      <w:r>
        <w:t xml:space="preserve">A base possui 326 casos, dentre os quais 256 são digitais ou digitalizados (79%). Em uma potencial análise manual, seriam considerados apenas processos digitais ou digitalizados.</w:t>
      </w:r>
    </w:p>
    <w:p>
      <w:pPr>
        <w:pStyle w:val="Corpodetexto"/>
      </w:pPr>
      <w:r>
        <w:t xml:space="preserve">A</w:t>
      </w:r>
      <w:r>
        <w:t xml:space="preserve"> </w:t>
      </w:r>
      <w:hyperlink w:anchor="tbl-status">
        <w:r>
          <w:rPr>
            <w:rStyle w:val="Hyperlink"/>
          </w:rPr>
          <w:t xml:space="preserve">Tabela 5</w:t>
        </w:r>
      </w:hyperlink>
      <w:r>
        <w:t xml:space="preserve"> </w:t>
      </w:r>
      <w:r>
        <w:t xml:space="preserve">mostra os status dos processos no momento da coleta dos dados, em novembro/2022. A maioria dos casos está extinta e aproximadamente um quinto dos casos está em grau de recurso.</w:t>
      </w:r>
    </w:p>
    <w:bookmarkStart w:id="30" w:name="tbl-status"/>
    <w:p>
      <w:pPr>
        <w:pStyle w:val="TableCaption"/>
      </w:pPr>
      <w:r>
        <w:t xml:space="preserve">Tabela 5: Status dos processos no momento da coleta dos dados</w:t>
      </w:r>
    </w:p>
    <w:tbl>
      <w:tblPr>
        <w:tblStyle w:val="Table"/>
        <w:tblW w:type="auto" w:w="0"/>
        <w:tblLook w:firstRow="1" w:lastRow="0" w:firstColumn="0" w:lastColumn="0" w:noHBand="0" w:noVBand="0" w:val="0020"/>
        <w:tblCaption w:val="Tabela 5: Status dos processos no momento da coleta dos dados"/>
      </w:tblPr>
      <w:tblGrid>
        <w:gridCol w:w="2640"/>
        <w:gridCol w:w="2640"/>
        <w:gridCol w:w="2640"/>
      </w:tblGrid>
      <w:tr>
        <w:trPr>
          <w:tblHeader w:val="true"/>
        </w:trPr>
        <w:tc>
          <w:tcPr/>
          <w:p>
            <w:pPr>
              <w:pStyle w:val="Compact"/>
              <w:jc w:val="left"/>
            </w:pPr>
            <w:r>
              <w:t xml:space="preserve">Status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Extinto</w:t>
            </w:r>
          </w:p>
        </w:tc>
        <w:tc>
          <w:tcPr/>
          <w:p>
            <w:pPr>
              <w:pStyle w:val="Compact"/>
              <w:jc w:val="right"/>
            </w:pPr>
            <w:r>
              <w:t xml:space="preserve">181</w:t>
            </w:r>
          </w:p>
        </w:tc>
        <w:tc>
          <w:tcPr/>
          <w:p>
            <w:pPr>
              <w:pStyle w:val="Compact"/>
              <w:jc w:val="right"/>
            </w:pPr>
            <w:r>
              <w:t xml:space="preserve">55.5%</w:t>
            </w:r>
          </w:p>
        </w:tc>
      </w:tr>
      <w:tr>
        <w:tc>
          <w:tcPr/>
          <w:p>
            <w:pPr>
              <w:pStyle w:val="Compact"/>
              <w:jc w:val="left"/>
            </w:pPr>
            <w:r>
              <w:t xml:space="preserve">Em grau de recurso</w:t>
            </w:r>
          </w:p>
        </w:tc>
        <w:tc>
          <w:tcPr/>
          <w:p>
            <w:pPr>
              <w:pStyle w:val="Compact"/>
              <w:jc w:val="right"/>
            </w:pPr>
            <w:r>
              <w:t xml:space="preserve">71</w:t>
            </w:r>
          </w:p>
        </w:tc>
        <w:tc>
          <w:tcPr/>
          <w:p>
            <w:pPr>
              <w:pStyle w:val="Compact"/>
              <w:jc w:val="right"/>
            </w:pPr>
            <w:r>
              <w:t xml:space="preserve">21.8%</w:t>
            </w:r>
          </w:p>
        </w:tc>
      </w:tr>
      <w:tr>
        <w:tc>
          <w:tcPr/>
          <w:p>
            <w:pPr>
              <w:pStyle w:val="Compact"/>
              <w:jc w:val="left"/>
            </w:pPr>
            <w:r>
              <w:t xml:space="preserve">Em andamento</w:t>
            </w:r>
          </w:p>
        </w:tc>
        <w:tc>
          <w:tcPr/>
          <w:p>
            <w:pPr>
              <w:pStyle w:val="Compact"/>
              <w:jc w:val="right"/>
            </w:pPr>
            <w:r>
              <w:t xml:space="preserve">68</w:t>
            </w:r>
          </w:p>
        </w:tc>
        <w:tc>
          <w:tcPr/>
          <w:p>
            <w:pPr>
              <w:pStyle w:val="Compact"/>
              <w:jc w:val="right"/>
            </w:pPr>
            <w:r>
              <w:t xml:space="preserve">20.9%</w:t>
            </w:r>
          </w:p>
        </w:tc>
      </w:tr>
      <w:tr>
        <w:tc>
          <w:tcPr/>
          <w:p>
            <w:pPr>
              <w:pStyle w:val="Compact"/>
              <w:jc w:val="left"/>
            </w:pPr>
            <w:r>
              <w:t xml:space="preserve">Suspenso</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0"/>
    <w:p>
      <w:pPr>
        <w:pStyle w:val="Corpodetexto"/>
      </w:pPr>
      <w:r>
        <w:t xml:space="preserve">A</w:t>
      </w:r>
      <w:r>
        <w:t xml:space="preserve"> </w:t>
      </w:r>
      <w:hyperlink w:anchor="tbl-classe">
        <w:r>
          <w:rPr>
            <w:rStyle w:val="Hyperlink"/>
          </w:rPr>
          <w:t xml:space="preserve">Tabela 6</w:t>
        </w:r>
      </w:hyperlink>
      <w:r>
        <w:t xml:space="preserve"> </w:t>
      </w:r>
      <w:r>
        <w:t xml:space="preserve">mostra as dez classes processuais mais comuns encontradas. É possível notar que existem muitas classes que não são relacionadas diretamente a arbitragem.</w:t>
      </w:r>
    </w:p>
    <w:bookmarkStart w:id="31" w:name="tbl-classe"/>
    <w:p>
      <w:pPr>
        <w:pStyle w:val="TableCaption"/>
      </w:pPr>
      <w:r>
        <w:t xml:space="preserve">Tabela 6: Dez classes mais comuns</w:t>
      </w:r>
    </w:p>
    <w:tbl>
      <w:tblPr>
        <w:tblStyle w:val="Table"/>
        <w:tblW w:type="auto" w:w="0"/>
        <w:tblLook w:firstRow="1" w:lastRow="0" w:firstColumn="0" w:lastColumn="0" w:noHBand="0" w:noVBand="0" w:val="0020"/>
        <w:tblCaption w:val="Tabela 6: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Procedimento Comum Cível</w:t>
            </w:r>
          </w:p>
        </w:tc>
        <w:tc>
          <w:tcPr/>
          <w:p>
            <w:pPr>
              <w:pStyle w:val="Compact"/>
              <w:jc w:val="right"/>
            </w:pPr>
            <w:r>
              <w:t xml:space="preserve">82</w:t>
            </w:r>
          </w:p>
        </w:tc>
        <w:tc>
          <w:tcPr/>
          <w:p>
            <w:pPr>
              <w:pStyle w:val="Compact"/>
              <w:jc w:val="right"/>
            </w:pPr>
            <w:r>
              <w:t xml:space="preserve">25.2%</w:t>
            </w:r>
          </w:p>
        </w:tc>
      </w:tr>
      <w:tr>
        <w:tc>
          <w:tcPr/>
          <w:p>
            <w:pPr>
              <w:pStyle w:val="Compact"/>
              <w:jc w:val="left"/>
            </w:pPr>
            <w:r>
              <w:t xml:space="preserve">Compromisso Arbitral</w:t>
            </w:r>
          </w:p>
        </w:tc>
        <w:tc>
          <w:tcPr/>
          <w:p>
            <w:pPr>
              <w:pStyle w:val="Compact"/>
              <w:jc w:val="right"/>
            </w:pPr>
            <w:r>
              <w:t xml:space="preserve">79</w:t>
            </w:r>
          </w:p>
        </w:tc>
        <w:tc>
          <w:tcPr/>
          <w:p>
            <w:pPr>
              <w:pStyle w:val="Compact"/>
              <w:jc w:val="right"/>
            </w:pPr>
            <w:r>
              <w:t xml:space="preserve">24.2%</w:t>
            </w:r>
          </w:p>
        </w:tc>
      </w:tr>
      <w:tr>
        <w:tc>
          <w:tcPr/>
          <w:p>
            <w:pPr>
              <w:pStyle w:val="Compact"/>
              <w:jc w:val="left"/>
            </w:pPr>
            <w:r>
              <w:t xml:space="preserve">Cumprimento de sentença - Lei Arbitral (Lei 9.307/1996)</w:t>
            </w:r>
          </w:p>
        </w:tc>
        <w:tc>
          <w:tcPr/>
          <w:p>
            <w:pPr>
              <w:pStyle w:val="Compact"/>
              <w:jc w:val="right"/>
            </w:pPr>
            <w:r>
              <w:t xml:space="preserve">55</w:t>
            </w:r>
          </w:p>
        </w:tc>
        <w:tc>
          <w:tcPr/>
          <w:p>
            <w:pPr>
              <w:pStyle w:val="Compact"/>
              <w:jc w:val="right"/>
            </w:pPr>
            <w:r>
              <w:t xml:space="preserve">16.9%</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12.9%</w:t>
            </w:r>
          </w:p>
        </w:tc>
      </w:tr>
      <w:tr>
        <w:tc>
          <w:tcPr/>
          <w:p>
            <w:pPr>
              <w:pStyle w:val="Compact"/>
              <w:jc w:val="left"/>
            </w:pPr>
            <w:r>
              <w:t xml:space="preserve">Cumprimento de sentença</w:t>
            </w:r>
          </w:p>
        </w:tc>
        <w:tc>
          <w:tcPr/>
          <w:p>
            <w:pPr>
              <w:pStyle w:val="Compact"/>
              <w:jc w:val="right"/>
            </w:pPr>
            <w:r>
              <w:t xml:space="preserve">23</w:t>
            </w:r>
          </w:p>
        </w:tc>
        <w:tc>
          <w:tcPr/>
          <w:p>
            <w:pPr>
              <w:pStyle w:val="Compact"/>
              <w:jc w:val="right"/>
            </w:pPr>
            <w:r>
              <w:t xml:space="preserve">7.1%</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4.9%</w:t>
            </w:r>
          </w:p>
        </w:tc>
      </w:tr>
      <w:tr>
        <w:tc>
          <w:tcPr/>
          <w:p>
            <w:pPr>
              <w:pStyle w:val="Compact"/>
              <w:jc w:val="left"/>
            </w:pPr>
            <w:r>
              <w:t xml:space="preserve">Produção Antecipada da Prova</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Dissolução Parcial de Sociedade</w:t>
            </w:r>
          </w:p>
        </w:tc>
        <w:tc>
          <w:tcPr/>
          <w:p>
            <w:pPr>
              <w:pStyle w:val="Compact"/>
              <w:jc w:val="right"/>
            </w:pPr>
            <w:r>
              <w:t xml:space="preserve">9</w:t>
            </w:r>
          </w:p>
        </w:tc>
        <w:tc>
          <w:tcPr/>
          <w:p>
            <w:pPr>
              <w:pStyle w:val="Compact"/>
              <w:jc w:val="right"/>
            </w:pPr>
            <w:r>
              <w:t xml:space="preserve">2.8%</w:t>
            </w:r>
          </w:p>
        </w:tc>
      </w:tr>
      <w:tr>
        <w:tc>
          <w:tcPr/>
          <w:p>
            <w:pPr>
              <w:pStyle w:val="Compact"/>
              <w:jc w:val="left"/>
            </w:pPr>
            <w:r>
              <w:t xml:space="preserve">Outros</w:t>
            </w:r>
          </w:p>
        </w:tc>
        <w:tc>
          <w:tcPr/>
          <w:p>
            <w:pPr>
              <w:pStyle w:val="Compact"/>
              <w:jc w:val="right"/>
            </w:pPr>
            <w:r>
              <w:t xml:space="preserve">4</w:t>
            </w:r>
          </w:p>
        </w:tc>
        <w:tc>
          <w:tcPr/>
          <w:p>
            <w:pPr>
              <w:pStyle w:val="Compact"/>
              <w:jc w:val="right"/>
            </w:pPr>
            <w:r>
              <w:t xml:space="preserve">1.2%</w:t>
            </w:r>
          </w:p>
        </w:tc>
      </w:tr>
      <w:tr>
        <w:tc>
          <w:tcPr/>
          <w:p>
            <w:pPr>
              <w:pStyle w:val="Compact"/>
              <w:jc w:val="left"/>
            </w:pPr>
            <w:r>
              <w:t xml:space="preserve">Protesto</w:t>
            </w:r>
          </w:p>
        </w:tc>
        <w:tc>
          <w:tcPr/>
          <w:p>
            <w:pPr>
              <w:pStyle w:val="Compact"/>
              <w:jc w:val="right"/>
            </w:pPr>
            <w:r>
              <w:t xml:space="preserve">3</w:t>
            </w:r>
          </w:p>
        </w:tc>
        <w:tc>
          <w:tcPr/>
          <w:p>
            <w:pPr>
              <w:pStyle w:val="Compact"/>
              <w:jc w:val="right"/>
            </w:pPr>
            <w:r>
              <w:t xml:space="preserve">0.9%</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1"/>
    <w:p>
      <w:pPr>
        <w:pStyle w:val="Corpodetexto"/>
      </w:pPr>
      <w:r>
        <w:t xml:space="preserve">A</w:t>
      </w:r>
      <w:r>
        <w:t xml:space="preserve"> </w:t>
      </w:r>
      <w:hyperlink w:anchor="tbl-assunto">
        <w:r>
          <w:rPr>
            <w:rStyle w:val="Hyperlink"/>
          </w:rPr>
          <w:t xml:space="preserve">Tabela 7</w:t>
        </w:r>
      </w:hyperlink>
      <w:r>
        <w:t xml:space="preserve"> </w:t>
      </w:r>
      <w:r>
        <w:t xml:space="preserve">mostra as dez classes processuais mais comuns encontradas. Assim como nas classes, é possível notar que existem muitos assuntos que não são relacionadas diretamente a arbitragem.</w:t>
      </w:r>
    </w:p>
    <w:bookmarkStart w:id="32" w:name="tbl-assunto"/>
    <w:p>
      <w:pPr>
        <w:pStyle w:val="TableCaption"/>
      </w:pPr>
      <w:r>
        <w:t xml:space="preserve">Tabela 7: Dez assuntos mais comuns</w:t>
      </w:r>
    </w:p>
    <w:tbl>
      <w:tblPr>
        <w:tblStyle w:val="Table"/>
        <w:tblW w:type="pct" w:w="5000"/>
        <w:tblLook w:firstRow="1" w:lastRow="0" w:firstColumn="0" w:lastColumn="0" w:noHBand="0" w:noVBand="0" w:val="0020"/>
        <w:tblCaption w:val="Tabela 7: Dez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93</w:t>
            </w:r>
          </w:p>
        </w:tc>
        <w:tc>
          <w:tcPr/>
          <w:p>
            <w:pPr>
              <w:pStyle w:val="Compact"/>
              <w:jc w:val="right"/>
            </w:pPr>
            <w:r>
              <w:t xml:space="preserve">28.5%</w:t>
            </w:r>
          </w:p>
        </w:tc>
      </w:tr>
      <w:tr>
        <w:tc>
          <w:tcPr/>
          <w:p>
            <w:pPr>
              <w:pStyle w:val="Compact"/>
              <w:jc w:val="left"/>
            </w:pPr>
            <w:r>
              <w:t xml:space="preserve">Sentença arbitral (artigo 515, inciso VII, CPC)</w:t>
            </w:r>
          </w:p>
        </w:tc>
        <w:tc>
          <w:tcPr/>
          <w:p>
            <w:pPr>
              <w:pStyle w:val="Compact"/>
              <w:jc w:val="right"/>
            </w:pPr>
            <w:r>
              <w:t xml:space="preserve">62</w:t>
            </w:r>
          </w:p>
        </w:tc>
        <w:tc>
          <w:tcPr/>
          <w:p>
            <w:pPr>
              <w:pStyle w:val="Compact"/>
              <w:jc w:val="right"/>
            </w:pPr>
            <w:r>
              <w:t xml:space="preserve">19.0%</w:t>
            </w:r>
          </w:p>
        </w:tc>
      </w:tr>
      <w:tr>
        <w:tc>
          <w:tcPr/>
          <w:p>
            <w:pPr>
              <w:pStyle w:val="Compact"/>
              <w:jc w:val="left"/>
            </w:pPr>
            <w:r>
              <w:t xml:space="preserve">Outros</w:t>
            </w:r>
          </w:p>
        </w:tc>
        <w:tc>
          <w:tcPr/>
          <w:p>
            <w:pPr>
              <w:pStyle w:val="Compact"/>
              <w:jc w:val="right"/>
            </w:pPr>
            <w:r>
              <w:t xml:space="preserve">50</w:t>
            </w:r>
          </w:p>
        </w:tc>
        <w:tc>
          <w:tcPr/>
          <w:p>
            <w:pPr>
              <w:pStyle w:val="Compact"/>
              <w:jc w:val="right"/>
            </w:pPr>
            <w:r>
              <w:t xml:space="preserve">15.3%</w:t>
            </w:r>
          </w:p>
        </w:tc>
      </w:tr>
      <w:tr>
        <w:tc>
          <w:tcPr/>
          <w:p>
            <w:pPr>
              <w:pStyle w:val="Compact"/>
              <w:jc w:val="left"/>
            </w:pPr>
            <w:r>
              <w:t xml:space="preserve">Liminar</w:t>
            </w:r>
          </w:p>
        </w:tc>
        <w:tc>
          <w:tcPr/>
          <w:p>
            <w:pPr>
              <w:pStyle w:val="Compact"/>
              <w:jc w:val="right"/>
            </w:pPr>
            <w:r>
              <w:t xml:space="preserve">47</w:t>
            </w:r>
          </w:p>
        </w:tc>
        <w:tc>
          <w:tcPr/>
          <w:p>
            <w:pPr>
              <w:pStyle w:val="Compact"/>
              <w:jc w:val="right"/>
            </w:pPr>
            <w:r>
              <w:t xml:space="preserve">14.4%</w:t>
            </w:r>
          </w:p>
        </w:tc>
      </w:tr>
      <w:tr>
        <w:tc>
          <w:tcPr/>
          <w:p>
            <w:pPr>
              <w:pStyle w:val="Compact"/>
              <w:jc w:val="left"/>
            </w:pPr>
            <w:r>
              <w:t xml:space="preserve">Franquia</w:t>
            </w:r>
          </w:p>
        </w:tc>
        <w:tc>
          <w:tcPr/>
          <w:p>
            <w:pPr>
              <w:pStyle w:val="Compact"/>
              <w:jc w:val="right"/>
            </w:pPr>
            <w:r>
              <w:t xml:space="preserve">19</w:t>
            </w:r>
          </w:p>
        </w:tc>
        <w:tc>
          <w:tcPr/>
          <w:p>
            <w:pPr>
              <w:pStyle w:val="Compact"/>
              <w:jc w:val="right"/>
            </w:pPr>
            <w:r>
              <w:t xml:space="preserve">5.8%</w:t>
            </w:r>
          </w:p>
        </w:tc>
      </w:tr>
      <w:tr>
        <w:tc>
          <w:tcPr/>
          <w:p>
            <w:pPr>
              <w:pStyle w:val="Compact"/>
              <w:jc w:val="left"/>
            </w:pPr>
            <w:r>
              <w:t xml:space="preserve">Medida cautelar ou de urgência pré-arbitral (Art. 22-A, Lei nº 9.307/96)</w:t>
            </w:r>
          </w:p>
        </w:tc>
        <w:tc>
          <w:tcPr/>
          <w:p>
            <w:pPr>
              <w:pStyle w:val="Compact"/>
              <w:jc w:val="right"/>
            </w:pPr>
            <w:r>
              <w:t xml:space="preserve">14</w:t>
            </w:r>
          </w:p>
        </w:tc>
        <w:tc>
          <w:tcPr/>
          <w:p>
            <w:pPr>
              <w:pStyle w:val="Compact"/>
              <w:jc w:val="right"/>
            </w:pPr>
            <w:r>
              <w:t xml:space="preserve">4.3%</w:t>
            </w:r>
          </w:p>
        </w:tc>
      </w:tr>
      <w:tr>
        <w:tc>
          <w:tcPr/>
          <w:p>
            <w:pPr>
              <w:pStyle w:val="Compact"/>
              <w:jc w:val="left"/>
            </w:pPr>
            <w:r>
              <w:t xml:space="preserve">Marca</w:t>
            </w:r>
          </w:p>
        </w:tc>
        <w:tc>
          <w:tcPr/>
          <w:p>
            <w:pPr>
              <w:pStyle w:val="Compact"/>
              <w:jc w:val="right"/>
            </w:pPr>
            <w:r>
              <w:t xml:space="preserve">8</w:t>
            </w:r>
          </w:p>
        </w:tc>
        <w:tc>
          <w:tcPr/>
          <w:p>
            <w:pPr>
              <w:pStyle w:val="Compact"/>
              <w:jc w:val="right"/>
            </w:pPr>
            <w:r>
              <w:t xml:space="preserve">2.5%</w:t>
            </w:r>
          </w:p>
        </w:tc>
      </w:tr>
      <w:tr>
        <w:tc>
          <w:tcPr/>
          <w:p>
            <w:pPr>
              <w:pStyle w:val="Compact"/>
              <w:jc w:val="left"/>
            </w:pPr>
            <w:r>
              <w:t xml:space="preserve">Ingresso e Exclusão dos Sócios na Sociedade</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Obrigações</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Provas em geral</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1.5%</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2"/>
    <w:p>
      <w:pPr>
        <w:pStyle w:val="Corpodetexto"/>
      </w:pPr>
      <w:r>
        <w:t xml:space="preserve">A</w:t>
      </w:r>
      <w:r>
        <w:t xml:space="preserve"> </w:t>
      </w:r>
      <w:hyperlink w:anchor="tbl-valor">
        <w:r>
          <w:rPr>
            <w:rStyle w:val="Hyperlink"/>
          </w:rPr>
          <w:t xml:space="preserve">Tabela 8</w:t>
        </w:r>
      </w:hyperlink>
      <w:r>
        <w:t xml:space="preserve"> </w:t>
      </w:r>
      <w:r>
        <w:t xml:space="preserve">mostra a contagem de processos por faixa de valores de causa. É possível notar que existe uma alta assimetria, já que temos vários processos de até 10 mil reais, mas também processos de mais de 100 milhões de reais.</w:t>
      </w:r>
    </w:p>
    <w:bookmarkStart w:id="33" w:name="tbl-valor"/>
    <w:p>
      <w:pPr>
        <w:pStyle w:val="TableCaption"/>
      </w:pPr>
      <w:r>
        <w:t xml:space="preserve">Tabela 8: Faixas de valores</w:t>
      </w:r>
    </w:p>
    <w:tbl>
      <w:tblPr>
        <w:tblStyle w:val="Table"/>
        <w:tblW w:type="auto" w:w="0"/>
        <w:tblLook w:firstRow="1" w:lastRow="0" w:firstColumn="0" w:lastColumn="0" w:noHBand="0" w:noVBand="0" w:val="0020"/>
        <w:tblCaption w:val="Tabela 8: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115</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73</w:t>
            </w:r>
          </w:p>
        </w:tc>
        <w:tc>
          <w:tcPr/>
          <w:p>
            <w:pPr>
              <w:pStyle w:val="Compact"/>
              <w:jc w:val="right"/>
            </w:pPr>
            <w:r>
              <w:t xml:space="preserve">22.4%</w:t>
            </w:r>
          </w:p>
        </w:tc>
      </w:tr>
      <w:tr>
        <w:tc>
          <w:tcPr/>
          <w:p>
            <w:pPr>
              <w:pStyle w:val="Compact"/>
              <w:jc w:val="left"/>
            </w:pPr>
            <w:r>
              <w:t xml:space="preserve">Entre R$ 100.000 e R$ 1 milhão</w:t>
            </w:r>
          </w:p>
        </w:tc>
        <w:tc>
          <w:tcPr/>
          <w:p>
            <w:pPr>
              <w:pStyle w:val="Compact"/>
              <w:jc w:val="right"/>
            </w:pPr>
            <w:r>
              <w:t xml:space="preserve">87</w:t>
            </w:r>
          </w:p>
        </w:tc>
        <w:tc>
          <w:tcPr/>
          <w:p>
            <w:pPr>
              <w:pStyle w:val="Compact"/>
              <w:jc w:val="right"/>
            </w:pPr>
            <w:r>
              <w:t xml:space="preserve">26.7%</w:t>
            </w:r>
          </w:p>
        </w:tc>
      </w:tr>
      <w:tr>
        <w:tc>
          <w:tcPr/>
          <w:p>
            <w:pPr>
              <w:pStyle w:val="Compact"/>
              <w:jc w:val="left"/>
            </w:pPr>
            <w:r>
              <w:t xml:space="preserve">Entre R$ 1 milhão e R$ 100 milhões</w:t>
            </w:r>
          </w:p>
        </w:tc>
        <w:tc>
          <w:tcPr/>
          <w:p>
            <w:pPr>
              <w:pStyle w:val="Compact"/>
              <w:jc w:val="right"/>
            </w:pPr>
            <w:r>
              <w:t xml:space="preserve">50</w:t>
            </w:r>
          </w:p>
        </w:tc>
        <w:tc>
          <w:tcPr/>
          <w:p>
            <w:pPr>
              <w:pStyle w:val="Compact"/>
              <w:jc w:val="right"/>
            </w:pPr>
            <w:r>
              <w:t xml:space="preserve">15.3%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100.0%</w:t>
            </w:r>
          </w:p>
        </w:tc>
      </w:tr>
    </w:tbl>
    <w:bookmarkEnd w:id="33"/>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34" w:name="tbl-vara"/>
    <w:p>
      <w:pPr>
        <w:pStyle w:val="TableCaption"/>
      </w:pPr>
      <w:r>
        <w:t xml:space="preserve">Tabela 9: Quantidade de processos por vara</w:t>
      </w:r>
    </w:p>
    <w:tbl>
      <w:tblPr>
        <w:tblStyle w:val="Table"/>
        <w:tblW w:type="pct" w:w="5000"/>
        <w:tblLook w:firstRow="1" w:lastRow="0" w:firstColumn="0" w:lastColumn="0" w:noHBand="0" w:noVBand="0" w:val="0020"/>
        <w:tblCaption w:val="Tabela 9: Quantidade de processos por vara"/>
      </w:tblPr>
      <w:tblGrid>
        <w:gridCol w:w="7086"/>
        <w:gridCol w:w="333"/>
        <w:gridCol w:w="500"/>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prop</w:t>
            </w:r>
          </w:p>
        </w:tc>
      </w:tr>
      <w:tr>
        <w:tc>
          <w:tcPr/>
          <w:p>
            <w:pPr>
              <w:pStyle w:val="Compact"/>
              <w:jc w:val="left"/>
            </w:pPr>
            <w:r>
              <w:t xml:space="preserve">2ª VARA EMPRESARIAL E CONFLITOS DE ARBITRAGEM</w:t>
            </w:r>
          </w:p>
        </w:tc>
        <w:tc>
          <w:tcPr/>
          <w:p>
            <w:pPr>
              <w:pStyle w:val="Compact"/>
              <w:jc w:val="right"/>
            </w:pPr>
            <w:r>
              <w:t xml:space="preserve">159</w:t>
            </w:r>
          </w:p>
        </w:tc>
        <w:tc>
          <w:tcPr/>
          <w:p>
            <w:pPr>
              <w:pStyle w:val="Compact"/>
              <w:jc w:val="right"/>
            </w:pPr>
            <w:r>
              <w:t xml:space="preserve">48.8%</w:t>
            </w:r>
          </w:p>
        </w:tc>
      </w:tr>
      <w:tr>
        <w:tc>
          <w:tcPr/>
          <w:p>
            <w:pPr>
              <w:pStyle w:val="Compact"/>
              <w:jc w:val="left"/>
            </w:pPr>
            <w:r>
              <w:t xml:space="preserve">1ª VARA EMPRESARIAL E CONFLITOS DE ARBITRAGEM</w:t>
            </w:r>
          </w:p>
        </w:tc>
        <w:tc>
          <w:tcPr/>
          <w:p>
            <w:pPr>
              <w:pStyle w:val="Compact"/>
              <w:jc w:val="right"/>
            </w:pPr>
            <w:r>
              <w:t xml:space="preserve">155</w:t>
            </w:r>
          </w:p>
        </w:tc>
        <w:tc>
          <w:tcPr/>
          <w:p>
            <w:pPr>
              <w:pStyle w:val="Compact"/>
              <w:jc w:val="right"/>
            </w:pPr>
            <w:r>
              <w:t xml:space="preserve">47.5%</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1.8%</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1.8%</w:t>
            </w:r>
          </w:p>
        </w:tc>
      </w:tr>
    </w:tbl>
    <w:bookmarkEnd w:id="34"/>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tblPr>
      <w:tblGrid>
        <w:gridCol w:w="7920"/>
      </w:tblGrid>
      <w:tr>
        <w:tc>
          <w:tcPr/>
          <w:bookmarkStart w:id="38" w:name="fig-no-tempo"/>
          <w:p>
            <w:pPr>
              <w:pStyle w:val="Figure"/>
              <w:jc w:val="center"/>
            </w:pPr>
            <w:r>
              <w:drawing>
                <wp:inline>
                  <wp:extent cx="5943600" cy="3396342"/>
                  <wp:effectExtent b="0" l="0" r="0" t="0"/>
                  <wp:docPr descr="" title="" id="36" name="Picture"/>
                  <a:graphic>
                    <a:graphicData uri="http://schemas.openxmlformats.org/drawingml/2006/picture">
                      <pic:pic>
                        <pic:nvPicPr>
                          <pic:cNvPr descr="relatorio_files/figure-docx/fig-no-tempo-1.png" id="37"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38"/>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Instauração, é possível observar um crescimento de casos nos anos de 2021 e 2022.</w:t>
      </w:r>
    </w:p>
    <w:tbl>
      <w:tblPr>
        <w:tblStyle w:val="Table"/>
        <w:tblW w:type="pct" w:w="5000"/>
        <w:tblLook w:firstRow="0" w:lastRow="0" w:firstColumn="0" w:lastColumn="0" w:noHBand="0" w:noVBand="0" w:val="0000"/>
      </w:tblPr>
      <w:tblGrid>
        <w:gridCol w:w="7920"/>
      </w:tblGrid>
      <w:tr>
        <w:tc>
          <w:tcPr/>
          <w:bookmarkStart w:id="42" w:name="fig-no-tempo-categoria"/>
          <w:p>
            <w:pPr>
              <w:pStyle w:val="Figure"/>
              <w:jc w:val="center"/>
            </w:pPr>
            <w:r>
              <w:drawing>
                <wp:inline>
                  <wp:extent cx="5943600" cy="3396342"/>
                  <wp:effectExtent b="0" l="0" r="0" t="0"/>
                  <wp:docPr descr="" title="" id="40" name="Picture"/>
                  <a:graphic>
                    <a:graphicData uri="http://schemas.openxmlformats.org/drawingml/2006/picture">
                      <pic:pic>
                        <pic:nvPicPr>
                          <pic:cNvPr descr="relatorio_files/figure-docx/fig-no-tempo-categoria-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42"/>
        </w:tc>
      </w:tr>
    </w:tbl>
    <w:p>
      <w:pPr>
        <w:pStyle w:val="Corpodetexto"/>
      </w:pPr>
      <w:r>
        <w:t xml:space="preserve">A</w:t>
      </w:r>
      <w:r>
        <w:t xml:space="preserve"> </w:t>
      </w:r>
      <w:hyperlink w:anchor="tbl-resultado">
        <w:r>
          <w:rPr>
            <w:rStyle w:val="Hyperlink"/>
          </w:rPr>
          <w:t xml:space="preserve">Tabela 10</w:t>
        </w:r>
      </w:hyperlink>
      <w:r>
        <w:t xml:space="preserve"> </w:t>
      </w:r>
      <w:r>
        <w:t xml:space="preserve">mostra os resultados dos processos por categoria. Nas últimas linha e coluna, são apresentadas as contagens e proporções marginais. A proporção de casos extintos observada é mais alta do que o comum na análise de processos do TJSP. A categoria de processos com maior taxa de procedência (parcial ou total) é o de Compromisso arbitral.</w:t>
      </w:r>
    </w:p>
    <w:bookmarkStart w:id="43" w:name="tbl-resultado"/>
    <w:p>
      <w:pPr>
        <w:pStyle w:val="TableCaption"/>
      </w:pPr>
      <w:r>
        <w:t xml:space="preserve">Tabela 10: Resultados dos processos por categoria</w:t>
      </w:r>
    </w:p>
    <w:tbl>
      <w:tblPr>
        <w:tblStyle w:val="Table"/>
        <w:tblW w:type="pct" w:w="5000"/>
        <w:tblLook w:firstRow="1" w:lastRow="0" w:firstColumn="0" w:lastColumn="0" w:noHBand="0" w:noVBand="0" w:val="0020"/>
        <w:tblCaption w:val="Tabela 10: Resultados dos processos por categoria"/>
      </w:tblPr>
      <w:tblGrid>
        <w:gridCol w:w="1267"/>
        <w:gridCol w:w="1056"/>
        <w:gridCol w:w="1372"/>
        <w:gridCol w:w="950"/>
        <w:gridCol w:w="1161"/>
        <w:gridCol w:w="950"/>
        <w:gridCol w:w="1161"/>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Acordo</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16 (47%)</w:t>
            </w:r>
          </w:p>
        </w:tc>
        <w:tc>
          <w:tcPr/>
          <w:p>
            <w:pPr>
              <w:pStyle w:val="Compact"/>
              <w:jc w:val="left"/>
            </w:pPr>
            <w:r>
              <w:t xml:space="preserve">13 (38%)</w:t>
            </w:r>
          </w:p>
        </w:tc>
        <w:tc>
          <w:tcPr/>
          <w:p>
            <w:pPr>
              <w:pStyle w:val="Compact"/>
              <w:jc w:val="left"/>
            </w:pPr>
            <w:r>
              <w:t xml:space="preserve">1 (3%)</w:t>
            </w:r>
          </w:p>
        </w:tc>
        <w:tc>
          <w:tcPr/>
          <w:p>
            <w:pPr>
              <w:pStyle w:val="Compact"/>
              <w:jc w:val="left"/>
            </w:pPr>
            <w:r>
              <w:t xml:space="preserve">4 (12%)</w:t>
            </w:r>
          </w:p>
        </w:tc>
        <w:tc>
          <w:tcPr/>
          <w:p>
            <w:pPr>
              <w:pStyle w:val="Compact"/>
              <w:jc w:val="left"/>
            </w:pPr>
            <w:r>
              <w:t xml:space="preserve">0 (0%)</w:t>
            </w:r>
          </w:p>
        </w:tc>
        <w:tc>
          <w:tcPr/>
          <w:p>
            <w:pPr>
              <w:pStyle w:val="Compact"/>
              <w:jc w:val="left"/>
            </w:pPr>
            <w:r>
              <w:t xml:space="preserve">34 (10%)</w:t>
            </w:r>
          </w:p>
        </w:tc>
      </w:tr>
      <w:tr>
        <w:tc>
          <w:tcPr/>
          <w:p>
            <w:pPr>
              <w:pStyle w:val="Compact"/>
              <w:jc w:val="left"/>
            </w:pPr>
            <w:r>
              <w:t xml:space="preserve">Cautelar</w:t>
            </w:r>
          </w:p>
        </w:tc>
        <w:tc>
          <w:tcPr/>
          <w:p>
            <w:pPr>
              <w:pStyle w:val="Compact"/>
              <w:jc w:val="left"/>
            </w:pPr>
            <w:r>
              <w:t xml:space="preserve">9 (26%)</w:t>
            </w:r>
          </w:p>
        </w:tc>
        <w:tc>
          <w:tcPr/>
          <w:p>
            <w:pPr>
              <w:pStyle w:val="Compact"/>
              <w:jc w:val="left"/>
            </w:pPr>
            <w:r>
              <w:t xml:space="preserve">6 (18%)</w:t>
            </w:r>
          </w:p>
        </w:tc>
        <w:tc>
          <w:tcPr/>
          <w:p>
            <w:pPr>
              <w:pStyle w:val="Compact"/>
              <w:jc w:val="left"/>
            </w:pPr>
            <w:r>
              <w:t xml:space="preserve">3 (9%)</w:t>
            </w:r>
          </w:p>
        </w:tc>
        <w:tc>
          <w:tcPr/>
          <w:p>
            <w:pPr>
              <w:pStyle w:val="Compact"/>
              <w:jc w:val="left"/>
            </w:pPr>
            <w:r>
              <w:t xml:space="preserve">11 (32%)</w:t>
            </w:r>
          </w:p>
        </w:tc>
        <w:tc>
          <w:tcPr/>
          <w:p>
            <w:pPr>
              <w:pStyle w:val="Compact"/>
              <w:jc w:val="left"/>
            </w:pPr>
            <w:r>
              <w:t xml:space="preserve">5 (15%)</w:t>
            </w:r>
          </w:p>
        </w:tc>
        <w:tc>
          <w:tcPr/>
          <w:p>
            <w:pPr>
              <w:pStyle w:val="Compact"/>
              <w:jc w:val="left"/>
            </w:pPr>
            <w:r>
              <w:t xml:space="preserve">34 (10%)</w:t>
            </w:r>
          </w:p>
        </w:tc>
      </w:tr>
      <w:tr>
        <w:tc>
          <w:tcPr/>
          <w:p>
            <w:pPr>
              <w:pStyle w:val="Compact"/>
              <w:jc w:val="left"/>
            </w:pPr>
            <w:r>
              <w:t xml:space="preserve">Compromisso</w:t>
            </w:r>
          </w:p>
        </w:tc>
        <w:tc>
          <w:tcPr/>
          <w:p>
            <w:pPr>
              <w:pStyle w:val="Compact"/>
              <w:jc w:val="left"/>
            </w:pPr>
            <w:r>
              <w:t xml:space="preserve">47 (35%)</w:t>
            </w:r>
          </w:p>
        </w:tc>
        <w:tc>
          <w:tcPr/>
          <w:p>
            <w:pPr>
              <w:pStyle w:val="Compact"/>
              <w:jc w:val="left"/>
            </w:pPr>
            <w:r>
              <w:t xml:space="preserve">33 (25%)</w:t>
            </w:r>
          </w:p>
        </w:tc>
        <w:tc>
          <w:tcPr/>
          <w:p>
            <w:pPr>
              <w:pStyle w:val="Compact"/>
              <w:jc w:val="left"/>
            </w:pPr>
            <w:r>
              <w:t xml:space="preserve">16 (12%)</w:t>
            </w:r>
          </w:p>
        </w:tc>
        <w:tc>
          <w:tcPr/>
          <w:p>
            <w:pPr>
              <w:pStyle w:val="Compact"/>
              <w:jc w:val="left"/>
            </w:pPr>
            <w:r>
              <w:t xml:space="preserve">34 (26%)</w:t>
            </w:r>
          </w:p>
        </w:tc>
        <w:tc>
          <w:tcPr/>
          <w:p>
            <w:pPr>
              <w:pStyle w:val="Compact"/>
              <w:jc w:val="left"/>
            </w:pPr>
            <w:r>
              <w:t xml:space="preserve">3 (2%)</w:t>
            </w:r>
          </w:p>
        </w:tc>
        <w:tc>
          <w:tcPr/>
          <w:p>
            <w:pPr>
              <w:pStyle w:val="Compact"/>
              <w:jc w:val="left"/>
            </w:pPr>
            <w:r>
              <w:t xml:space="preserve">133 (41%)</w:t>
            </w:r>
          </w:p>
        </w:tc>
      </w:tr>
      <w:tr>
        <w:tc>
          <w:tcPr/>
          <w:p>
            <w:pPr>
              <w:pStyle w:val="Compact"/>
              <w:jc w:val="left"/>
            </w:pPr>
            <w:r>
              <w:t xml:space="preserve">Cumprimento</w:t>
            </w:r>
          </w:p>
        </w:tc>
        <w:tc>
          <w:tcPr/>
          <w:p>
            <w:pPr>
              <w:pStyle w:val="Compact"/>
              <w:jc w:val="left"/>
            </w:pPr>
            <w:r>
              <w:t xml:space="preserve">47 (57%)</w:t>
            </w:r>
          </w:p>
        </w:tc>
        <w:tc>
          <w:tcPr/>
          <w:p>
            <w:pPr>
              <w:pStyle w:val="Compact"/>
              <w:jc w:val="left"/>
            </w:pPr>
            <w:r>
              <w:t xml:space="preserve">5 (6%)</w:t>
            </w:r>
          </w:p>
        </w:tc>
        <w:tc>
          <w:tcPr/>
          <w:p>
            <w:pPr>
              <w:pStyle w:val="Compact"/>
              <w:jc w:val="left"/>
            </w:pPr>
            <w:r>
              <w:t xml:space="preserve">1 (1%)</w:t>
            </w:r>
          </w:p>
        </w:tc>
        <w:tc>
          <w:tcPr/>
          <w:p>
            <w:pPr>
              <w:pStyle w:val="Compact"/>
              <w:jc w:val="left"/>
            </w:pPr>
            <w:r>
              <w:t xml:space="preserve">18 (22%)</w:t>
            </w:r>
          </w:p>
        </w:tc>
        <w:tc>
          <w:tcPr/>
          <w:p>
            <w:pPr>
              <w:pStyle w:val="Compact"/>
              <w:jc w:val="left"/>
            </w:pPr>
            <w:r>
              <w:t xml:space="preserve">11 (13%)</w:t>
            </w:r>
          </w:p>
        </w:tc>
        <w:tc>
          <w:tcPr/>
          <w:p>
            <w:pPr>
              <w:pStyle w:val="Compact"/>
              <w:jc w:val="left"/>
            </w:pPr>
            <w:r>
              <w:t xml:space="preserve">82 (25%)</w:t>
            </w:r>
          </w:p>
        </w:tc>
      </w:tr>
      <w:tr>
        <w:tc>
          <w:tcPr/>
          <w:p>
            <w:pPr>
              <w:pStyle w:val="Compact"/>
              <w:jc w:val="left"/>
            </w:pPr>
            <w:r>
              <w:t xml:space="preserve">Instauracao</w:t>
            </w:r>
          </w:p>
        </w:tc>
        <w:tc>
          <w:tcPr/>
          <w:p>
            <w:pPr>
              <w:pStyle w:val="Compact"/>
              <w:jc w:val="left"/>
            </w:pPr>
            <w:r>
              <w:t xml:space="preserve">20 (47%)</w:t>
            </w:r>
          </w:p>
        </w:tc>
        <w:tc>
          <w:tcPr/>
          <w:p>
            <w:pPr>
              <w:pStyle w:val="Compact"/>
              <w:jc w:val="left"/>
            </w:pPr>
            <w:r>
              <w:t xml:space="preserve">10 (23%)</w:t>
            </w:r>
          </w:p>
        </w:tc>
        <w:tc>
          <w:tcPr/>
          <w:p>
            <w:pPr>
              <w:pStyle w:val="Compact"/>
              <w:jc w:val="left"/>
            </w:pPr>
            <w:r>
              <w:t xml:space="preserve">6 (14%)</w:t>
            </w:r>
          </w:p>
        </w:tc>
        <w:tc>
          <w:tcPr/>
          <w:p>
            <w:pPr>
              <w:pStyle w:val="Compact"/>
              <w:jc w:val="left"/>
            </w:pPr>
            <w:r>
              <w:t xml:space="preserve">6 (14%)</w:t>
            </w:r>
          </w:p>
        </w:tc>
        <w:tc>
          <w:tcPr/>
          <w:p>
            <w:pPr>
              <w:pStyle w:val="Compact"/>
              <w:jc w:val="left"/>
            </w:pPr>
            <w:r>
              <w:t xml:space="preserve">1 (2%)</w:t>
            </w:r>
          </w:p>
        </w:tc>
        <w:tc>
          <w:tcPr/>
          <w:p>
            <w:pPr>
              <w:pStyle w:val="Compact"/>
              <w:jc w:val="left"/>
            </w:pPr>
            <w:r>
              <w:t xml:space="preserve">43 (13%)</w:t>
            </w:r>
          </w:p>
        </w:tc>
      </w:tr>
      <w:tr>
        <w:tc>
          <w:tcPr/>
          <w:p>
            <w:pPr>
              <w:pStyle w:val="Compact"/>
              <w:jc w:val="left"/>
            </w:pPr>
            <w:r>
              <w:t xml:space="preserve">Total</w:t>
            </w:r>
          </w:p>
        </w:tc>
        <w:tc>
          <w:tcPr/>
          <w:p>
            <w:pPr>
              <w:pStyle w:val="Compact"/>
              <w:jc w:val="left"/>
            </w:pPr>
            <w:r>
              <w:t xml:space="preserve">139 (43%)</w:t>
            </w:r>
          </w:p>
        </w:tc>
        <w:tc>
          <w:tcPr/>
          <w:p>
            <w:pPr>
              <w:pStyle w:val="Compact"/>
              <w:jc w:val="left"/>
            </w:pPr>
            <w:r>
              <w:t xml:space="preserve">67 (21%)</w:t>
            </w:r>
          </w:p>
        </w:tc>
        <w:tc>
          <w:tcPr/>
          <w:p>
            <w:pPr>
              <w:pStyle w:val="Compact"/>
              <w:jc w:val="left"/>
            </w:pPr>
            <w:r>
              <w:t xml:space="preserve">27 (8%)</w:t>
            </w:r>
          </w:p>
        </w:tc>
        <w:tc>
          <w:tcPr/>
          <w:p>
            <w:pPr>
              <w:pStyle w:val="Compact"/>
              <w:jc w:val="left"/>
            </w:pPr>
            <w:r>
              <w:t xml:space="preserve">73 (22%)</w:t>
            </w:r>
          </w:p>
        </w:tc>
        <w:tc>
          <w:tcPr/>
          <w:p>
            <w:pPr>
              <w:pStyle w:val="Compact"/>
              <w:jc w:val="left"/>
            </w:pPr>
            <w:r>
              <w:t xml:space="preserve">20 (6%)</w:t>
            </w:r>
          </w:p>
        </w:tc>
        <w:tc>
          <w:tcPr/>
          <w:p>
            <w:pPr>
              <w:pStyle w:val="Compact"/>
              <w:jc w:val="left"/>
            </w:pPr>
            <w:r>
              <w:t xml:space="preserve">326 (100%)</w:t>
            </w:r>
          </w:p>
        </w:tc>
      </w:tr>
    </w:tbl>
    <w:bookmarkEnd w:id="43"/>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para a maioria das categorias de casos.</w:t>
      </w:r>
    </w:p>
    <w:tbl>
      <w:tblPr>
        <w:tblStyle w:val="Table"/>
        <w:tblW w:type="pct" w:w="5000"/>
        <w:tblLook w:firstRow="0" w:lastRow="0" w:firstColumn="0" w:lastColumn="0" w:noHBand="0" w:noVBand="0" w:val="0000"/>
      </w:tblPr>
      <w:tblGrid>
        <w:gridCol w:w="7920"/>
      </w:tblGrid>
      <w:tr>
        <w:tc>
          <w:tcPr/>
          <w:bookmarkStart w:id="47" w:name="fig-resultado-vara"/>
          <w:p>
            <w:pPr>
              <w:pStyle w:val="Figure"/>
              <w:jc w:val="center"/>
            </w:pPr>
            <w:r>
              <w:drawing>
                <wp:inline>
                  <wp:extent cx="5943600" cy="2971800"/>
                  <wp:effectExtent b="0" l="0" r="0" t="0"/>
                  <wp:docPr descr="" title="" id="45" name="Picture"/>
                  <a:graphic>
                    <a:graphicData uri="http://schemas.openxmlformats.org/drawingml/2006/picture">
                      <pic:pic>
                        <pic:nvPicPr>
                          <pic:cNvPr descr="relatorio_files/figure-docx/fig-resultado-vara-1.png" id="46"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47"/>
        </w:tc>
      </w:tr>
    </w:tbl>
    <w:p>
      <w:pPr>
        <w:pStyle w:val="Corpodetexto"/>
      </w:pPr>
      <w:r>
        <w:t xml:space="preserve">Finalmente, a</w:t>
      </w:r>
      <w:r>
        <w:t xml:space="preserve"> </w:t>
      </w:r>
      <w:hyperlink w:anchor="tbl-tempo">
        <w:r>
          <w:rPr>
            <w:rStyle w:val="Hyperlink"/>
          </w:rPr>
          <w:t xml:space="preserve">Tabela 11</w:t>
        </w:r>
      </w:hyperlink>
      <w:r>
        <w:t xml:space="preserve"> </w:t>
      </w:r>
      <w:r>
        <w:t xml:space="preserve">mostra os tempos médios e medianos, geral e por categoria. Os processos mais longos são os de Anulação, com mediana de quase um ano. Já os processos mais curtos são os de Instauração, com mediana de aproximadamente meio ano.</w:t>
      </w:r>
    </w:p>
    <w:bookmarkStart w:id="48" w:name="tbl-tempo"/>
    <w:p>
      <w:pPr>
        <w:pStyle w:val="TableCaption"/>
      </w:pPr>
      <w:r>
        <w:t xml:space="preserve">Tabela 11: Estatísticas descritivas dos tempos dos processos</w:t>
      </w:r>
    </w:p>
    <w:tbl>
      <w:tblPr>
        <w:tblStyle w:val="Table"/>
        <w:tblW w:type="auto" w:w="0"/>
        <w:tblLook w:firstRow="1" w:lastRow="0" w:firstColumn="0" w:lastColumn="0" w:noHBand="0" w:noVBand="0" w:val="0020"/>
        <w:tblCaption w:val="Tabela 11: Estatísticas descritivas dos tempos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412.6</w:t>
            </w:r>
          </w:p>
        </w:tc>
        <w:tc>
          <w:tcPr/>
          <w:p>
            <w:pPr>
              <w:pStyle w:val="Compact"/>
              <w:jc w:val="right"/>
            </w:pPr>
            <w:r>
              <w:t xml:space="preserve">349.0</w:t>
            </w:r>
          </w:p>
        </w:tc>
      </w:tr>
      <w:tr>
        <w:tc>
          <w:tcPr/>
          <w:p>
            <w:pPr>
              <w:pStyle w:val="Compact"/>
              <w:jc w:val="left"/>
            </w:pPr>
            <w:r>
              <w:t xml:space="preserve">Cumprimento</w:t>
            </w:r>
          </w:p>
        </w:tc>
        <w:tc>
          <w:tcPr/>
          <w:p>
            <w:pPr>
              <w:pStyle w:val="Compact"/>
              <w:jc w:val="right"/>
            </w:pPr>
            <w:r>
              <w:t xml:space="preserve">82</w:t>
            </w:r>
          </w:p>
        </w:tc>
        <w:tc>
          <w:tcPr/>
          <w:p>
            <w:pPr>
              <w:pStyle w:val="Compact"/>
              <w:jc w:val="right"/>
            </w:pPr>
            <w:r>
              <w:t xml:space="preserve">320.9</w:t>
            </w:r>
          </w:p>
        </w:tc>
        <w:tc>
          <w:tcPr/>
          <w:p>
            <w:pPr>
              <w:pStyle w:val="Compact"/>
              <w:jc w:val="right"/>
            </w:pPr>
            <w:r>
              <w:t xml:space="preserve">268.5</w:t>
            </w:r>
          </w:p>
        </w:tc>
      </w:tr>
      <w:tr>
        <w:tc>
          <w:tcPr/>
          <w:p>
            <w:pPr>
              <w:pStyle w:val="Compact"/>
              <w:jc w:val="left"/>
            </w:pPr>
            <w:r>
              <w:t xml:space="preserve">Compromisso</w:t>
            </w:r>
          </w:p>
        </w:tc>
        <w:tc>
          <w:tcPr/>
          <w:p>
            <w:pPr>
              <w:pStyle w:val="Compact"/>
              <w:jc w:val="right"/>
            </w:pPr>
            <w:r>
              <w:t xml:space="preserve">133</w:t>
            </w:r>
          </w:p>
        </w:tc>
        <w:tc>
          <w:tcPr/>
          <w:p>
            <w:pPr>
              <w:pStyle w:val="Compact"/>
              <w:jc w:val="right"/>
            </w:pPr>
            <w:r>
              <w:t xml:space="preserve">295.5</w:t>
            </w:r>
          </w:p>
        </w:tc>
        <w:tc>
          <w:tcPr/>
          <w:p>
            <w:pPr>
              <w:pStyle w:val="Compact"/>
              <w:jc w:val="right"/>
            </w:pPr>
            <w:r>
              <w:t xml:space="preserve">225.0</w:t>
            </w:r>
          </w:p>
        </w:tc>
      </w:tr>
      <w:tr>
        <w:tc>
          <w:tcPr/>
          <w:p>
            <w:pPr>
              <w:pStyle w:val="Compact"/>
              <w:jc w:val="left"/>
            </w:pPr>
            <w:r>
              <w:t xml:space="preserve">Cautelar</w:t>
            </w:r>
          </w:p>
        </w:tc>
        <w:tc>
          <w:tcPr/>
          <w:p>
            <w:pPr>
              <w:pStyle w:val="Compact"/>
              <w:jc w:val="right"/>
            </w:pPr>
            <w:r>
              <w:t xml:space="preserve">34</w:t>
            </w:r>
          </w:p>
        </w:tc>
        <w:tc>
          <w:tcPr/>
          <w:p>
            <w:pPr>
              <w:pStyle w:val="Compact"/>
              <w:jc w:val="right"/>
            </w:pPr>
            <w:r>
              <w:t xml:space="preserve">240.1</w:t>
            </w:r>
          </w:p>
        </w:tc>
        <w:tc>
          <w:tcPr/>
          <w:p>
            <w:pPr>
              <w:pStyle w:val="Compact"/>
              <w:jc w:val="right"/>
            </w:pPr>
            <w:r>
              <w:t xml:space="preserve">194.5</w:t>
            </w:r>
          </w:p>
        </w:tc>
      </w:tr>
      <w:tr>
        <w:tc>
          <w:tcPr/>
          <w:p>
            <w:pPr>
              <w:pStyle w:val="Compact"/>
              <w:jc w:val="left"/>
            </w:pPr>
            <w:r>
              <w:t xml:space="preserve">Instauracao</w:t>
            </w:r>
          </w:p>
        </w:tc>
        <w:tc>
          <w:tcPr/>
          <w:p>
            <w:pPr>
              <w:pStyle w:val="Compact"/>
              <w:jc w:val="right"/>
            </w:pPr>
            <w:r>
              <w:t xml:space="preserve">43</w:t>
            </w:r>
          </w:p>
        </w:tc>
        <w:tc>
          <w:tcPr/>
          <w:p>
            <w:pPr>
              <w:pStyle w:val="Compact"/>
              <w:jc w:val="right"/>
            </w:pPr>
            <w:r>
              <w:t xml:space="preserve">265.0</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304.3</w:t>
            </w:r>
          </w:p>
        </w:tc>
        <w:tc>
          <w:tcPr/>
          <w:p>
            <w:pPr>
              <w:pStyle w:val="Compact"/>
              <w:jc w:val="right"/>
            </w:pPr>
            <w:r>
              <w:t xml:space="preserve">238.0</w:t>
            </w:r>
          </w:p>
        </w:tc>
      </w:tr>
    </w:tbl>
    <w:bookmarkEnd w:id="48"/>
    <w:bookmarkEnd w:id="49"/>
    <w:bookmarkStart w:id="52" w:name="referências"/>
    <w:p>
      <w:pPr>
        <w:pStyle w:val="Ttulo2"/>
      </w:pPr>
      <w:r>
        <w:t xml:space="preserve">Referências</w:t>
      </w:r>
    </w:p>
    <w:bookmarkStart w:id="51" w:name="refs"/>
    <w:bookmarkStart w:id="50"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50"/>
    <w:bookmarkEnd w:id="51"/>
    <w:bookmarkEnd w:id="52"/>
    <w:sectPr w:rsidR="004E182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FCC035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7842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4B089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6E163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8F644B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16740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52069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03A48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3239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7962F3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51934747" w:numId="1">
    <w:abstractNumId w:val="10"/>
  </w:num>
  <w:num w16cid:durableId="187523152" w:numId="2">
    <w:abstractNumId w:val="9"/>
  </w:num>
  <w:num w16cid:durableId="1972705978" w:numId="3">
    <w:abstractNumId w:val="7"/>
  </w:num>
  <w:num w16cid:durableId="258685434" w:numId="4">
    <w:abstractNumId w:val="6"/>
  </w:num>
  <w:num w16cid:durableId="1697390625" w:numId="5">
    <w:abstractNumId w:val="5"/>
  </w:num>
  <w:num w16cid:durableId="1250193855" w:numId="6">
    <w:abstractNumId w:val="4"/>
  </w:num>
  <w:num w16cid:durableId="2117094986" w:numId="7">
    <w:abstractNumId w:val="8"/>
  </w:num>
  <w:num w16cid:durableId="967392069" w:numId="8">
    <w:abstractNumId w:val="3"/>
  </w:num>
  <w:num w16cid:durableId="2115132814" w:numId="9">
    <w:abstractNumId w:val="2"/>
  </w:num>
  <w:num w16cid:durableId="1598561279" w:numId="10">
    <w:abstractNumId w:val="1"/>
  </w:num>
  <w:num w16cid:durableId="728111265"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th-TH"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Corpodetexto"/>
    <w:uiPriority w:val="9"/>
    <w:qFormat/>
    <w:rsid w:val="00234D97"/>
    <w:pPr>
      <w:keepNext/>
      <w:keepLines/>
      <w:spacing w:after="0" w:before="480"/>
      <w:outlineLvl w:val="0"/>
    </w:pPr>
    <w:rPr>
      <w:rFonts w:asciiTheme="majorHAnsi" w:cstheme="majorBidi" w:eastAsiaTheme="majorEastAsia" w:hAnsiTheme="majorHAnsi"/>
      <w:b/>
      <w:bCs/>
      <w:color w:val="042E6F"/>
      <w:sz w:val="32"/>
      <w:szCs w:val="32"/>
    </w:rPr>
  </w:style>
  <w:style w:styleId="Ttulo2" w:type="paragraph">
    <w:name w:val="heading 2"/>
    <w:basedOn w:val="Normal"/>
    <w:next w:val="Corpodetexto"/>
    <w:uiPriority w:val="9"/>
    <w:unhideWhenUsed/>
    <w:qFormat/>
    <w:rsid w:val="00A737A2"/>
    <w:pPr>
      <w:keepNext/>
      <w:keepLines/>
      <w:spacing w:after="0" w:before="200"/>
      <w:outlineLvl w:val="1"/>
    </w:pPr>
    <w:rPr>
      <w:rFonts w:asciiTheme="majorHAnsi" w:cstheme="majorBidi" w:eastAsiaTheme="majorEastAsia" w:hAnsiTheme="majorHAnsi"/>
      <w:b/>
      <w:bCs/>
      <w:color w:val="042E6F"/>
      <w:sz w:val="32"/>
      <w:szCs w:val="32"/>
    </w:rPr>
  </w:style>
  <w:style w:styleId="Ttulo3" w:type="paragraph">
    <w:name w:val="heading 3"/>
    <w:basedOn w:val="Normal"/>
    <w:next w:val="Corpodetexto"/>
    <w:uiPriority w:val="9"/>
    <w:unhideWhenUsed/>
    <w:qFormat/>
    <w:rsid w:val="00A737A2"/>
    <w:pPr>
      <w:keepNext/>
      <w:keepLines/>
      <w:spacing w:after="0" w:before="200"/>
      <w:outlineLvl w:val="2"/>
    </w:pPr>
    <w:rPr>
      <w:rFonts w:asciiTheme="majorHAnsi" w:cstheme="majorBidi" w:eastAsiaTheme="majorEastAsia" w:hAnsiTheme="majorHAnsi"/>
      <w:b/>
      <w:bCs/>
      <w:color w:val="042E6F"/>
      <w:sz w:val="28"/>
      <w:szCs w:val="28"/>
    </w:rPr>
  </w:style>
  <w:style w:styleId="Ttulo4" w:type="paragraph">
    <w:name w:val="heading 4"/>
    <w:basedOn w:val="Normal"/>
    <w:next w:val="Corpodetexto"/>
    <w:uiPriority w:val="9"/>
    <w:unhideWhenUsed/>
    <w:qFormat/>
    <w:rsid w:val="00A737A2"/>
    <w:pPr>
      <w:keepNext/>
      <w:keepLines/>
      <w:spacing w:after="0" w:before="200"/>
      <w:outlineLvl w:val="3"/>
    </w:pPr>
    <w:rPr>
      <w:rFonts w:asciiTheme="majorHAnsi" w:cstheme="majorBidi" w:eastAsiaTheme="majorEastAsia" w:hAnsiTheme="majorHAnsi"/>
      <w:b/>
      <w:bCs/>
      <w:color w:val="042E6F"/>
    </w:rPr>
  </w:style>
  <w:style w:styleId="Ttulo5" w:type="paragraph">
    <w:name w:val="heading 5"/>
    <w:basedOn w:val="Normal"/>
    <w:next w:val="Corpodetexto"/>
    <w:uiPriority w:val="9"/>
    <w:unhideWhenUsed/>
    <w:qFormat/>
    <w:rsid w:val="00A737A2"/>
    <w:pPr>
      <w:keepNext/>
      <w:keepLines/>
      <w:spacing w:after="0" w:before="200"/>
      <w:outlineLvl w:val="4"/>
    </w:pPr>
    <w:rPr>
      <w:rFonts w:asciiTheme="majorHAnsi" w:cstheme="majorBidi" w:eastAsiaTheme="majorEastAsia" w:hAnsiTheme="majorHAnsi"/>
      <w:iCs/>
      <w:color w:val="042E6F"/>
    </w:rPr>
  </w:style>
  <w:style w:styleId="Ttulo6" w:type="paragraph">
    <w:name w:val="heading 6"/>
    <w:basedOn w:val="Normal"/>
    <w:next w:val="Corpodetexto"/>
    <w:uiPriority w:val="9"/>
    <w:unhideWhenUsed/>
    <w:qFormat/>
    <w:rsid w:val="00A737A2"/>
    <w:pPr>
      <w:keepNext/>
      <w:keepLines/>
      <w:spacing w:after="0" w:before="200"/>
      <w:outlineLvl w:val="5"/>
    </w:pPr>
    <w:rPr>
      <w:rFonts w:asciiTheme="majorHAnsi" w:cstheme="majorBidi" w:eastAsiaTheme="majorEastAsia" w:hAnsiTheme="majorHAnsi"/>
      <w:color w:val="042E6F"/>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234D97"/>
    <w:pPr>
      <w:spacing w:after="180" w:before="180"/>
      <w:jc w:val="both"/>
    </w:pPr>
    <w:rPr>
      <w:rFonts w:ascii="Arial" w:hAnsi="Arial"/>
      <w:sz w:val="22"/>
    </w:rPr>
  </w:style>
  <w:style w:customStyle="1" w:styleId="FirstParagraph" w:type="paragraph">
    <w:name w:val="First Paragraph"/>
    <w:basedOn w:val="Corpodetexto"/>
    <w:next w:val="Corpodetexto"/>
    <w:qFormat/>
  </w:style>
  <w:style w:customStyle="1" w:styleId="Compact" w:type="paragraph">
    <w:name w:val="Compact"/>
    <w:basedOn w:val="Corpodetexto"/>
    <w:qFormat/>
    <w:rsid w:val="00F36BB4"/>
    <w:pPr>
      <w:spacing w:after="36" w:before="36"/>
    </w:pPr>
    <w:rPr>
      <w:sz w:val="20"/>
    </w:rPr>
  </w:style>
  <w:style w:styleId="Ttulo" w:type="paragraph">
    <w:name w:val="Title"/>
    <w:basedOn w:val="Normal"/>
    <w:next w:val="Corpodetexto"/>
    <w:qFormat/>
    <w:rsid w:val="00234D97"/>
    <w:pPr>
      <w:keepNext/>
      <w:keepLines/>
      <w:spacing w:after="240" w:before="480"/>
    </w:pPr>
    <w:rPr>
      <w:rFonts w:asciiTheme="majorHAnsi" w:cstheme="majorBidi" w:eastAsiaTheme="majorEastAsia" w:hAnsiTheme="majorHAnsi"/>
      <w:b/>
      <w:bCs/>
      <w:color w:val="042E6F"/>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234D97"/>
    <w:pPr>
      <w:keepNext/>
      <w:keepLines/>
    </w:pPr>
    <w:rPr>
      <w:rFonts w:ascii="Arial" w:hAnsi="Arial"/>
    </w:rPr>
  </w:style>
  <w:style w:styleId="Data" w:type="paragraph">
    <w:name w:val="Date"/>
    <w:next w:val="Corpodetexto"/>
    <w:qFormat/>
    <w:rsid w:val="00234D97"/>
    <w:pPr>
      <w:keepNext/>
      <w:keepLines/>
    </w:pPr>
    <w:rPr>
      <w:rFonts w:ascii="Arial" w:hAnsi="Arial"/>
    </w:r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rsid w:val="00A737A2"/>
    <w:rPr>
      <w:rFonts w:ascii="Arial" w:hAnsi="Arial"/>
      <w:sz w:val="22"/>
    </w:rPr>
  </w:style>
  <w:style w:styleId="Textoembloco" w:type="paragraph">
    <w:name w:val="Block Text"/>
    <w:basedOn w:val="Corpodetexto"/>
    <w:next w:val="Corpodetexto"/>
    <w:uiPriority w:val="9"/>
    <w:unhideWhenUsed/>
    <w:qFormat/>
    <w:pPr>
      <w:spacing w:after="100" w:before="100"/>
    </w:pPr>
    <w:rPr>
      <w:rFonts w:asciiTheme="majorHAnsi" w:cstheme="majorBidi" w:eastAsiaTheme="majorEastAsia" w:hAnsiTheme="majorHAnsi"/>
      <w:bCs/>
      <w:sz w:val="20"/>
      <w:szCs w:val="20"/>
    </w:rPr>
  </w:style>
  <w:style w:styleId="Textodenotaderodap" w:type="paragraph">
    <w:name w:val="footnote text"/>
    <w:basedOn w:val="Normal"/>
    <w:uiPriority w:val="9"/>
    <w:unhideWhenUsed/>
    <w:qFormat/>
    <w:rsid w:val="009662A5"/>
    <w:pPr>
      <w:jc w:val="both"/>
    </w:pPr>
    <w:rPr>
      <w:rFonts w:ascii="Arial" w:hAnsi="Arial"/>
      <w:sz w:val="18"/>
    </w:rPr>
  </w:style>
  <w:style w:customStyle="1" w:styleId="Table" w:type="table">
    <w:name w:val="Table"/>
    <w:semiHidden/>
    <w:unhideWhenUsed/>
    <w:qFormat/>
    <w:rsid w:val="00B87C8B"/>
    <w:rPr>
      <w:rFonts w:ascii="Arial" w:hAnsi="Arial"/>
      <w:sz w:val="20"/>
      <w:szCs w:val="20"/>
      <w:lang w:eastAsia="pt-BR" w:val="pt"/>
    </w:rPr>
    <w:tblPr>
      <w:tblStyleRowBandSize w:val="1"/>
      <w:jc w:val="center"/>
      <w:tblInd w:type="dxa" w:w="0"/>
      <w:tblCellMar>
        <w:top w:type="dxa" w:w="0"/>
        <w:left w:type="dxa" w:w="108"/>
        <w:bottom w:type="dxa" w:w="0"/>
        <w:right w:type="dxa" w:w="108"/>
      </w:tblCellMar>
    </w:tblPr>
    <w:trPr>
      <w:jc w:val="center"/>
    </w:trPr>
    <w:tcPr>
      <w:vAlign w:val="center"/>
    </w:tcPr>
    <w:tblStylePr w:type="firstRow">
      <w:rPr>
        <w:rFonts w:ascii="Arial" w:hAnsi="Arial"/>
        <w:b/>
        <w:sz w:val="20"/>
      </w:rPr>
      <w:tblPr/>
      <w:tcPr>
        <w:tcBorders>
          <w:top w:color="auto" w:space="0" w:sz="4" w:val="single"/>
          <w:bottom w:color="auto" w:space="0" w:sz="4" w:val="single"/>
        </w:tcBorders>
        <w:shd w:color="auto" w:fill="FFFFFF" w:themeFill="background1" w:val="clear"/>
      </w:tcPr>
    </w:tblStylePr>
    <w:tblStylePr w:type="lastRow">
      <w:rPr>
        <w:b/>
      </w:rPr>
      <w:tblPr/>
      <w:tcPr>
        <w:tcBorders>
          <w:top w:color="auto" w:space="0" w:sz="4" w:val="single"/>
          <w:bottom w:color="auto" w:space="0" w:sz="4" w:val="single"/>
        </w:tcBorders>
      </w:tcPr>
    </w:tblStylePr>
    <w:tblStylePr w:type="band2Horz">
      <w:tblPr/>
      <w:tcPr>
        <w:shd w:color="auto" w:fill="F2F2F2" w:themeFill="background1" w:themeFillShade="F2" w:val="clear"/>
      </w:tcPr>
    </w:tblStylePr>
  </w:style>
  <w:style w:customStyle="1" w:styleId="DefinitionTerm" w:type="paragraph">
    <w:name w:val="Definition Term"/>
    <w:basedOn w:val="Normal"/>
    <w:next w:val="Definition"/>
    <w:rsid w:val="009662A5"/>
    <w:pPr>
      <w:keepNext/>
      <w:keepLines/>
      <w:spacing w:after="0"/>
    </w:pPr>
    <w:rPr>
      <w:rFonts w:ascii="Arial" w:hAnsi="Arial"/>
      <w:b/>
      <w:sz w:val="22"/>
    </w:rPr>
  </w:style>
  <w:style w:customStyle="1" w:styleId="Definition" w:type="paragraph">
    <w:name w:val="Definition"/>
    <w:basedOn w:val="Normal"/>
    <w:rsid w:val="009662A5"/>
    <w:rPr>
      <w:rFonts w:ascii="Arial" w:hAnsi="Arial"/>
      <w:sz w:val="22"/>
    </w:rPr>
  </w:style>
  <w:style w:styleId="Legenda" w:type="paragraph">
    <w:name w:val="caption"/>
    <w:basedOn w:val="Normal"/>
    <w:link w:val="LegendaChar"/>
    <w:pPr>
      <w:spacing w:after="120"/>
    </w:pPr>
    <w:rPr>
      <w:i/>
    </w:rPr>
  </w:style>
  <w:style w:customStyle="1" w:styleId="TableCaption" w:type="paragraph">
    <w:name w:val="Table Caption"/>
    <w:basedOn w:val="Legenda"/>
    <w:rsid w:val="009662A5"/>
    <w:pPr>
      <w:keepNext/>
      <w:jc w:val="center"/>
    </w:pPr>
    <w:rPr>
      <w:rFonts w:ascii="Arial" w:hAnsi="Arial"/>
      <w:i w:val="0"/>
      <w:sz w:val="22"/>
    </w:rPr>
  </w:style>
  <w:style w:customStyle="1" w:styleId="ImageCaption" w:type="paragraph">
    <w:name w:val="Image Caption"/>
    <w:basedOn w:val="Legenda"/>
    <w:rsid w:val="009662A5"/>
    <w:pPr>
      <w:jc w:val="center"/>
    </w:pPr>
    <w:rPr>
      <w:rFonts w:ascii="Arial" w:hAnsi="Arial"/>
      <w:i w:val="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CorpodetextoChar" w:type="character">
    <w:name w:val="Corpo de texto Char"/>
    <w:basedOn w:val="Fontepargpadro"/>
    <w:link w:val="Corpodetexto"/>
    <w:rsid w:val="00A737A2"/>
    <w:rPr>
      <w:rFonts w:ascii="Arial" w:hAnsi="Arial"/>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28" Target="https://github.com/abjur/obsArb/raw/main/inst/da_arbitragem.xlsx" TargetMode="External" /></Relationships>
</file>

<file path=word/_rels/footnotes.xml.rels><?xml version="1.0" encoding="UTF-8"?><Relationships xmlns="http://schemas.openxmlformats.org/package/2006/relationships"><Relationship Type="http://schemas.openxmlformats.org/officeDocument/2006/relationships/hyperlink" Id="rId20" Target="https://esaj.tjsp.jus.br/cjpg/pesquisar.do" TargetMode="External" /><Relationship Type="http://schemas.openxmlformats.org/officeDocument/2006/relationships/hyperlink" Id="rId21" Target="https://esaj.tjsp.jus.br/cpopg/open.do" TargetMode="External" /><Relationship Type="http://schemas.openxmlformats.org/officeDocument/2006/relationships/hyperlink" Id="rId28" Target="https://github.com/abjur/obsArb/raw/main/inst/da_arbitragem.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66</Words>
  <Characters>359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2022-11-09T17:14:11Z</dcterms:created>
  <dcterms:modified xsi:type="dcterms:W3CDTF">2022-11-09T17:14:11Z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10/11/2022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