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9.png" ContentType="image/png"/>
  <Override PartName="/word/media/rId4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Processos</w:t>
      </w:r>
      <w:r>
        <w:t xml:space="preserve"> </w:t>
      </w:r>
      <w:r>
        <w:t xml:space="preserve">relacionados</w:t>
      </w:r>
      <w:r>
        <w:t xml:space="preserve"> </w:t>
      </w:r>
      <w:r>
        <w:t xml:space="preserve">à</w:t>
      </w:r>
      <w:r>
        <w:t xml:space="preserve"> </w:t>
      </w:r>
      <w:r>
        <w:t xml:space="preserve">Arbitragem</w:t>
      </w:r>
    </w:p>
    <w:p>
      <w:pPr>
        <w:pStyle w:val="Subttulo"/>
      </w:pPr>
      <w:r>
        <w:t xml:space="preserve">Um</w:t>
      </w:r>
      <w:r>
        <w:t xml:space="preserve"> </w:t>
      </w:r>
      <w:r>
        <w:t xml:space="preserve">levantamento</w:t>
      </w:r>
      <w:r>
        <w:t xml:space="preserve"> </w:t>
      </w:r>
      <w:r>
        <w:t xml:space="preserve">preliminar</w:t>
      </w:r>
      <w:r>
        <w:t xml:space="preserve"> </w:t>
      </w:r>
      <w:r>
        <w:t xml:space="preserve">no</w:t>
      </w:r>
      <w:r>
        <w:t xml:space="preserve"> </w:t>
      </w:r>
      <w:r>
        <w:t xml:space="preserve">banco</w:t>
      </w:r>
      <w:r>
        <w:t xml:space="preserve"> </w:t>
      </w:r>
      <w:r>
        <w:t xml:space="preserve">de</w:t>
      </w:r>
      <w:r>
        <w:t xml:space="preserve"> </w:t>
      </w:r>
      <w:r>
        <w:t xml:space="preserve">sentenças</w:t>
      </w:r>
      <w:r>
        <w:t xml:space="preserve"> </w:t>
      </w:r>
      <w:r>
        <w:t xml:space="preserve">do</w:t>
      </w:r>
      <w:r>
        <w:t xml:space="preserve"> </w:t>
      </w:r>
      <w:r>
        <w:t xml:space="preserve">TJSP</w:t>
      </w:r>
    </w:p>
    <w:p>
      <w:pPr>
        <w:pStyle w:val="Author"/>
      </w:pPr>
      <w:r>
        <w:t xml:space="preserve">Associação</w:t>
      </w:r>
      <w:r>
        <w:t xml:space="preserve"> </w:t>
      </w:r>
      <w:r>
        <w:t xml:space="preserve">Brasileira</w:t>
      </w:r>
      <w:r>
        <w:t xml:space="preserve"> </w:t>
      </w:r>
      <w:r>
        <w:t xml:space="preserve">de</w:t>
      </w:r>
      <w:r>
        <w:t xml:space="preserve"> </w:t>
      </w:r>
      <w:r>
        <w:t xml:space="preserve">Jurimetria</w:t>
      </w:r>
    </w:p>
    <w:p>
      <w:pPr>
        <w:pStyle w:val="Data"/>
      </w:pPr>
      <w:r>
        <w:t xml:space="preserve">02/12/2022</w:t>
      </w:r>
    </w:p>
    <w:p>
      <w:pPr>
        <w:pStyle w:val="FirstParagraph"/>
      </w:pPr>
      <w:r>
        <w:t xml:space="preserve">O Observatório da Arbitragem é um projeto que visa compreender o reflexo do fenômeno jurídico da arbitragem nos tribunais. Em sua primeira fase, o projeto busca compreender o fluxo dos processos de i) anulação de decisão arbitral, ii) cumprimento de sentença / execução, iii) medida cautelar antecedente ao tribunal arbitral, iv) compromisso arbitral e v) ação de instauração da arbitragem.</w:t>
      </w:r>
    </w:p>
    <w:p>
      <w:pPr>
        <w:pStyle w:val="Corpodetexto"/>
      </w:pPr>
      <w:r>
        <w:t xml:space="preserve">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pPr>
        <w:pStyle w:val="Corpodetexto"/>
      </w:pPr>
      <w:r>
        <w:t xml:space="preserve">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bookmarkStart w:id="23" w:name="download"/>
    <w:p>
      <w:pPr>
        <w:pStyle w:val="Ttulo2"/>
      </w:pPr>
      <w:r>
        <w:t xml:space="preserve">Download</w:t>
      </w:r>
    </w:p>
    <w:p>
      <w:pPr>
        <w:pStyle w:val="FirstParagraph"/>
      </w:pPr>
      <w:r>
        <w:t xml:space="preserve">Os dados de processos do TJSP são públicos, mas não são abertos. Isso significa que não existe um meio fácil de obter uma lista de todos os processos que existem no tribunal a partir de um critério jurídico, geográfico ou temporal.</w:t>
      </w:r>
    </w:p>
    <w:p>
      <w:pPr>
        <w:pStyle w:val="Corpodetexto"/>
      </w:pPr>
      <w:r>
        <w:t xml:space="preserve">O tribunal, no entanto, disponibiliza ferramentas de consulta. Na</w:t>
      </w:r>
      <w:r>
        <w:t xml:space="preserve"> </w:t>
      </w:r>
      <w:hyperlink r:id="rId20">
        <w:r>
          <w:rPr>
            <w:rStyle w:val="Hyperlink"/>
          </w:rPr>
          <w:t xml:space="preserve">Consulta de Julgados do Primeiro Grau (CJPG)</w:t>
        </w:r>
      </w:hyperlink>
      <w:r>
        <w:t xml:space="preserve"> </w:t>
      </w:r>
      <w:r>
        <w:t xml:space="preserve">é possível acessar, manualmente, a lista de processos a partir de termos de busca (como palavras-chave, classes e assuntos). Cada processo, por sua vez, pode ser pesquisado manualmente em uma consulta de processos</w:t>
      </w:r>
      <w:r>
        <w:t xml:space="preserve"> </w:t>
      </w:r>
      <w:hyperlink r:id="rId21">
        <w:r>
          <w:rPr>
            <w:rStyle w:val="Hyperlink"/>
          </w:rPr>
          <w:t xml:space="preserve">Consulta de Processos do Primeiro Grau</w:t>
        </w:r>
      </w:hyperlink>
      <w:r>
        <w:t xml:space="preserve">.</w:t>
      </w:r>
    </w:p>
    <w:p>
      <w:pPr>
        <w:pStyle w:val="Corpodetexto"/>
      </w:pPr>
      <w:r>
        <w:t xml:space="preserve">Por conta da necessidade de realizar pesquisas no Direito, a ABJ desenvolveu, ao longo de sua história, algumas ferramentas que automatizam o fluxo manual de obtenção de dados. Essas ferramentas utilizam técnicas de raspagem de dados</w:t>
      </w:r>
      <w:r>
        <w:t xml:space="preserve"> </w:t>
      </w:r>
      <w:r>
        <w:t xml:space="preserve">(Zhao 2017)</w:t>
      </w:r>
      <w:r>
        <w:t xml:space="preserve"> </w:t>
      </w:r>
      <w:r>
        <w:t xml:space="preserve">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pPr>
        <w:pStyle w:val="Corpodetexto"/>
      </w:pPr>
      <w:r>
        <w:t xml:space="preserve">Ao acessar os dados via raspagem do CJPG, a primeira limitação que aparece são os campos disponíveis. Processos de arbitragem podem aparecer com classes e assuntos processuais</w:t>
      </w:r>
      <w:r>
        <w:rPr>
          <w:rStyle w:val="Refdenotaderodap"/>
        </w:rPr>
        <w:footnoteReference w:id="22"/>
      </w:r>
      <w:r>
        <w:t xml:space="preserve"> </w:t>
      </w:r>
      <w:r>
        <w:t xml:space="preserve">que não identificam corretamente os casos. Por exemplo, é comum encontrar como classe</w:t>
      </w:r>
      <w:r>
        <w:t xml:space="preserve"> </w:t>
      </w:r>
      <w:r>
        <w:t xml:space="preserve">“</w:t>
      </w:r>
      <w:r>
        <w:t xml:space="preserve">procedimento ordinário</w:t>
      </w:r>
      <w:r>
        <w:t xml:space="preserve">”</w:t>
      </w:r>
      <w:r>
        <w:t xml:space="preserve"> </w:t>
      </w:r>
      <w:r>
        <w:t xml:space="preserve">ou como assunto</w:t>
      </w:r>
      <w:r>
        <w:t xml:space="preserve"> </w:t>
      </w:r>
      <w:r>
        <w:t xml:space="preserve">“</w:t>
      </w:r>
      <w:r>
        <w:t xml:space="preserve">anulação</w:t>
      </w:r>
      <w:r>
        <w:t xml:space="preserve">”</w:t>
      </w:r>
      <w:r>
        <w:t xml:space="preserve">. Por isso, a única forma de listar os processos relacionados à arbitragem é através das palavras-chave.</w:t>
      </w:r>
    </w:p>
    <w:p>
      <w:pPr>
        <w:pStyle w:val="Corpodetexto"/>
      </w:pPr>
      <w:r>
        <w:t xml:space="preserve">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pPr>
        <w:pStyle w:val="Corpodetexto"/>
      </w:pPr>
      <w:r>
        <w:t xml:space="preserve">O termo de busca utilizado para realizar a pesquisa foi</w:t>
      </w:r>
      <w:r>
        <w:t xml:space="preserve"> </w:t>
      </w:r>
      <w:r>
        <w:rPr>
          <w:rStyle w:val="VerbatimChar"/>
        </w:rPr>
        <w:t xml:space="preserve">"arbitral" OU "lei de arbitragem" OU "9307" OU "9.307"</w:t>
      </w:r>
      <w:r>
        <w:t xml:space="preserve">. A ideia da pesquisa foi realizar a busca mais genérica possível relacionada à arbitragem, sem incluir o termo</w:t>
      </w:r>
      <w:r>
        <w:t xml:space="preserve"> </w:t>
      </w:r>
      <w:r>
        <w:t xml:space="preserve">“</w:t>
      </w:r>
      <w:r>
        <w:t xml:space="preserve">arbitragem</w:t>
      </w:r>
      <w:r>
        <w:t xml:space="preserve">”</w:t>
      </w:r>
      <w:r>
        <w:t xml:space="preserve">, já que este aparece no nome das varas, o que implicaria em uma lista com todos os processos da vara.</w:t>
      </w:r>
    </w:p>
    <w:p>
      <w:pPr>
        <w:pStyle w:val="Corpodetexto"/>
      </w:pPr>
      <w:r>
        <w:t xml:space="preserve">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pPr>
        <w:pStyle w:val="Corpodetexto"/>
      </w:pPr>
      <w:r>
        <w:t xml:space="preserve">A pesquisa retornou um total de 348 decisões.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pPr>
        <w:pStyle w:val="Corpodetexto"/>
      </w:pPr>
      <w:r>
        <w:t xml:space="preserve">Neste ponto, uma discussão pode ser iniciada sobre o volume total de ações. Por envolver casos que potencialmente correm em segredo de justiça, é possível que uma parte dos casos não são acessíveis através do banco de sentenças. Além disso, por envolver apenas as varas empresariais, o recorte pode apresentar limitações de espaço (regiões) e tempo (criação das varas). Por último, por se tratar de um estudo retrospectivo (envolve apenas casos com sentença), pode ser que casos que ainda estão ativos fiquem de fora da lista. De qualquer forma, espera-se que a lista obtida, depois de limpa, possa ser utilizada como amostra aleatória da população de todos os processos relacionados a arbitragem.</w:t>
      </w:r>
    </w:p>
    <w:bookmarkEnd w:id="23"/>
    <w:bookmarkStart w:id="33" w:name="arrumação"/>
    <w:p>
      <w:pPr>
        <w:pStyle w:val="Ttulo2"/>
      </w:pPr>
      <w:r>
        <w:t xml:space="preserve">Arrumação</w:t>
      </w:r>
    </w:p>
    <w:p>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w:t>
      </w:r>
      <w:r>
        <w:t xml:space="preserve"> </w:t>
      </w:r>
      <w:hyperlink w:anchor="tbl-rx-tipo">
        <w:r>
          <w:rPr>
            <w:rStyle w:val="Hyperlink"/>
          </w:rPr>
          <w:t xml:space="preserve">Tabela 1</w:t>
        </w:r>
      </w:hyperlink>
      <w:r>
        <w:t xml:space="preserve">.</w:t>
      </w:r>
    </w:p>
    <w:bookmarkStart w:id="24" w:name="tbl-rx-tipo"/>
    <w:p>
      <w:pPr>
        <w:pStyle w:val="TableCaption"/>
      </w:pPr>
      <w:r>
        <w:t xml:space="preserve">Tabela 1: Expressões regulares utilizadas para classificar a categoria de ação</w:t>
      </w:r>
    </w:p>
    <w:tbl>
      <w:tblPr>
        <w:tblStyle w:val="Table"/>
        <w:tblW w:type="auto" w:w="0"/>
        <w:tblLook w:firstRow="1" w:lastRow="0" w:firstColumn="0" w:lastColumn="0" w:noHBand="0" w:noVBand="0" w:val="0020"/>
        <w:tblCaption w:val="Tabela 1: Expressões regulares utilizadas para classificar a categoria de ação"/>
      </w:tblPr>
      <w:tblGrid>
        <w:gridCol w:w="3960"/>
        <w:gridCol w:w="396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Instauracao</w:t>
            </w:r>
          </w:p>
        </w:tc>
        <w:tc>
          <w:tcPr/>
          <w:p>
            <w:pPr>
              <w:pStyle w:val="Compact"/>
              <w:jc w:val="left"/>
            </w:pPr>
            <w:r>
              <w:t xml:space="preserve">(instauracao)</w:t>
            </w:r>
          </w:p>
        </w:tc>
      </w:tr>
      <w:tr>
        <w:tc>
          <w:tcPr/>
          <w:p>
            <w:pPr>
              <w:pStyle w:val="Compact"/>
              <w:jc w:val="left"/>
            </w:pPr>
            <w:r>
              <w:t xml:space="preserve">Cumprimento</w:t>
            </w:r>
          </w:p>
        </w:tc>
        <w:tc>
          <w:tcPr/>
          <w:p>
            <w:pPr>
              <w:pStyle w:val="Compact"/>
              <w:jc w:val="left"/>
            </w:pPr>
            <w:r>
              <w:t xml:space="preserve">(cumprimento)</w:t>
            </w:r>
          </w:p>
        </w:tc>
      </w:tr>
      <w:tr>
        <w:tc>
          <w:tcPr/>
          <w:p>
            <w:pPr>
              <w:pStyle w:val="Compact"/>
              <w:jc w:val="left"/>
            </w:pPr>
            <w:r>
              <w:t xml:space="preserve">Compromisso</w:t>
            </w:r>
          </w:p>
        </w:tc>
        <w:tc>
          <w:tcPr/>
          <w:p>
            <w:pPr>
              <w:pStyle w:val="Compact"/>
              <w:jc w:val="left"/>
            </w:pPr>
            <w:r>
              <w:t xml:space="preserve">(compromisso arbitral)</w:t>
            </w:r>
          </w:p>
        </w:tc>
      </w:tr>
      <w:tr>
        <w:tc>
          <w:tcPr/>
          <w:p>
            <w:pPr>
              <w:pStyle w:val="Compact"/>
              <w:jc w:val="left"/>
            </w:pPr>
            <w:r>
              <w:t xml:space="preserve">Cautelar</w:t>
            </w:r>
          </w:p>
        </w:tc>
        <w:tc>
          <w:tcPr/>
          <w:p>
            <w:pPr>
              <w:pStyle w:val="Compact"/>
              <w:jc w:val="left"/>
            </w:pPr>
            <w:r>
              <w:t xml:space="preserve">(cautelar OU antecipada)</w:t>
            </w:r>
          </w:p>
        </w:tc>
      </w:tr>
      <w:tr>
        <w:tc>
          <w:tcPr/>
          <w:p>
            <w:pPr>
              <w:pStyle w:val="Compact"/>
              <w:jc w:val="left"/>
            </w:pPr>
            <w:r>
              <w:t xml:space="preserve">Anulacao</w:t>
            </w:r>
          </w:p>
        </w:tc>
        <w:tc>
          <w:tcPr/>
          <w:p>
            <w:pPr>
              <w:pStyle w:val="Compact"/>
              <w:jc w:val="left"/>
            </w:pPr>
            <w:r>
              <w:t xml:space="preserve">(anulacao OU nulidade)</w:t>
            </w:r>
          </w:p>
        </w:tc>
      </w:tr>
    </w:tbl>
    <w:bookmarkEnd w:id="24"/>
    <w:p>
      <w:pPr>
        <w:pStyle w:val="Corpodetexto"/>
      </w:pPr>
      <w:r>
        <w:t xml:space="preserve">A</w:t>
      </w:r>
      <w:r>
        <w:t xml:space="preserve"> </w:t>
      </w:r>
      <w:hyperlink w:anchor="tbl-tabela-tipo">
        <w:r>
          <w:rPr>
            <w:rStyle w:val="Hyperlink"/>
          </w:rPr>
          <w:t xml:space="preserve">Tabela 2</w:t>
        </w:r>
      </w:hyperlink>
      <w:r>
        <w:t xml:space="preserve"> </w:t>
      </w:r>
      <w:r>
        <w:t xml:space="preserve">mostra a quantidade de processos que caiu em cada categoria. É importante destacar que toda classificação automática pode incorrer em erros, ou seja, pode ser que as categorias finais fiquem incorretas. Os casos vazios foram retirados.</w:t>
      </w:r>
    </w:p>
    <w:bookmarkStart w:id="25" w:name="tbl-tabela-tipo"/>
    <w:p>
      <w:pPr>
        <w:pStyle w:val="TableCaption"/>
      </w:pPr>
      <w:r>
        <w:t xml:space="preserve">Tabela 2: Processos classificados por categoria</w:t>
      </w:r>
    </w:p>
    <w:tbl>
      <w:tblPr>
        <w:tblStyle w:val="Table"/>
        <w:tblW w:type="auto" w:w="0"/>
        <w:tblLook w:firstRow="1" w:lastRow="0" w:firstColumn="0" w:lastColumn="0" w:noHBand="0" w:noVBand="0" w:val="0020"/>
        <w:tblCaption w:val="Tabela 2: Processos classificados por categoria"/>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Compromisso</w:t>
            </w:r>
          </w:p>
        </w:tc>
        <w:tc>
          <w:tcPr/>
          <w:p>
            <w:pPr>
              <w:pStyle w:val="Compact"/>
              <w:jc w:val="right"/>
            </w:pPr>
            <w:r>
              <w:t xml:space="preserve">135</w:t>
            </w:r>
          </w:p>
        </w:tc>
        <w:tc>
          <w:tcPr/>
          <w:p>
            <w:pPr>
              <w:pStyle w:val="Compact"/>
              <w:jc w:val="right"/>
            </w:pPr>
            <w:r>
              <w:t xml:space="preserve">39.94%</w:t>
            </w:r>
          </w:p>
        </w:tc>
      </w:tr>
      <w:tr>
        <w:tc>
          <w:tcPr/>
          <w:p>
            <w:pPr>
              <w:pStyle w:val="Compact"/>
              <w:jc w:val="left"/>
            </w:pPr>
            <w:r>
              <w:t xml:space="preserve">Cumprimento</w:t>
            </w:r>
          </w:p>
        </w:tc>
        <w:tc>
          <w:tcPr/>
          <w:p>
            <w:pPr>
              <w:pStyle w:val="Compact"/>
              <w:jc w:val="right"/>
            </w:pPr>
            <w:r>
              <w:t xml:space="preserve">83</w:t>
            </w:r>
          </w:p>
        </w:tc>
        <w:tc>
          <w:tcPr/>
          <w:p>
            <w:pPr>
              <w:pStyle w:val="Compact"/>
              <w:jc w:val="right"/>
            </w:pPr>
            <w:r>
              <w:t xml:space="preserve">24.56%</w:t>
            </w:r>
          </w:p>
        </w:tc>
      </w:tr>
      <w:tr>
        <w:tc>
          <w:tcPr/>
          <w:p>
            <w:pPr>
              <w:pStyle w:val="Compact"/>
              <w:jc w:val="left"/>
            </w:pPr>
            <w:r>
              <w:t xml:space="preserve">Instauracao</w:t>
            </w:r>
          </w:p>
        </w:tc>
        <w:tc>
          <w:tcPr/>
          <w:p>
            <w:pPr>
              <w:pStyle w:val="Compact"/>
              <w:jc w:val="right"/>
            </w:pPr>
            <w:r>
              <w:t xml:space="preserve">44</w:t>
            </w:r>
          </w:p>
        </w:tc>
        <w:tc>
          <w:tcPr/>
          <w:p>
            <w:pPr>
              <w:pStyle w:val="Compact"/>
              <w:jc w:val="right"/>
            </w:pPr>
            <w:r>
              <w:t xml:space="preserve">13.02%</w:t>
            </w:r>
          </w:p>
        </w:tc>
      </w:tr>
      <w:tr>
        <w:tc>
          <w:tcPr/>
          <w:p>
            <w:pPr>
              <w:pStyle w:val="Compact"/>
              <w:jc w:val="left"/>
            </w:pPr>
            <w:r>
              <w:t xml:space="preserve">Cautelar</w:t>
            </w:r>
          </w:p>
        </w:tc>
        <w:tc>
          <w:tcPr/>
          <w:p>
            <w:pPr>
              <w:pStyle w:val="Compact"/>
              <w:jc w:val="right"/>
            </w:pPr>
            <w:r>
              <w:t xml:space="preserve">35</w:t>
            </w:r>
          </w:p>
        </w:tc>
        <w:tc>
          <w:tcPr/>
          <w:p>
            <w:pPr>
              <w:pStyle w:val="Compact"/>
              <w:jc w:val="right"/>
            </w:pPr>
            <w:r>
              <w:t xml:space="preserve">10.36%</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10.06%</w:t>
            </w:r>
          </w:p>
        </w:tc>
      </w:tr>
      <w:tr>
        <w:tc>
          <w:tcPr/>
          <w:p>
            <w:pPr>
              <w:pStyle w:val="Compact"/>
              <w:jc w:val="left"/>
            </w:pPr>
            <w:r>
              <w:t xml:space="preserve">(Vazio)</w:t>
            </w:r>
          </w:p>
        </w:tc>
        <w:tc>
          <w:tcPr/>
          <w:p>
            <w:pPr>
              <w:pStyle w:val="Compact"/>
              <w:jc w:val="right"/>
            </w:pPr>
            <w:r>
              <w:t xml:space="preserve">7</w:t>
            </w:r>
          </w:p>
        </w:tc>
        <w:tc>
          <w:tcPr/>
          <w:p>
            <w:pPr>
              <w:pStyle w:val="Compact"/>
              <w:jc w:val="right"/>
            </w:pPr>
            <w:r>
              <w:t xml:space="preserve">2.07%</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100.00%</w:t>
            </w:r>
          </w:p>
        </w:tc>
      </w:tr>
    </w:tbl>
    <w:bookmarkEnd w:id="25"/>
    <w:p>
      <w:pPr>
        <w:pStyle w:val="Corpodetexto"/>
      </w:pPr>
      <w:r>
        <w:t xml:space="preserve">O passo seguinte foi a obtenção dos resultados dos processos. Para classificar as categorias de resultados, foram utilizados os termos e expressões regulares da</w:t>
      </w:r>
      <w:r>
        <w:t xml:space="preserve"> </w:t>
      </w:r>
      <w:hyperlink w:anchor="tbl-rx-resultado">
        <w:r>
          <w:rPr>
            <w:rStyle w:val="Hyperlink"/>
          </w:rPr>
          <w:t xml:space="preserve">Tabela 3</w:t>
        </w:r>
      </w:hyperlink>
      <w:r>
        <w:t xml:space="preserve">.</w:t>
      </w:r>
    </w:p>
    <w:bookmarkStart w:id="26" w:name="tbl-rx-resultado"/>
    <w:p>
      <w:pPr>
        <w:pStyle w:val="TableCaption"/>
      </w:pPr>
      <w:r>
        <w:t xml:space="preserve">Tabela 3: Expressões regulares utilizadas para classificar o resultado</w:t>
      </w:r>
    </w:p>
    <w:tbl>
      <w:tblPr>
        <w:tblStyle w:val="Table"/>
        <w:tblW w:type="pct" w:w="5000"/>
        <w:tblLook w:firstRow="1" w:lastRow="0" w:firstColumn="0" w:lastColumn="0" w:noHBand="0" w:noVBand="0" w:val="0020"/>
        <w:tblCaption w:val="Tabela 3: Expressões regulares utilizadas para classificar o resultado"/>
      </w:tblPr>
      <w:tblGrid>
        <w:gridCol w:w="1029"/>
        <w:gridCol w:w="689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Acordo</w:t>
            </w:r>
          </w:p>
        </w:tc>
        <w:tc>
          <w:tcPr/>
          <w:p>
            <w:pPr>
              <w:pStyle w:val="Compact"/>
              <w:jc w:val="left"/>
            </w:pPr>
            <w:r>
              <w:t xml:space="preserve">(homologo o acordo)</w:t>
            </w:r>
          </w:p>
        </w:tc>
      </w:tr>
      <w:tr>
        <w:tc>
          <w:tcPr/>
          <w:p>
            <w:pPr>
              <w:pStyle w:val="Compact"/>
              <w:jc w:val="left"/>
            </w:pPr>
            <w:r>
              <w:t xml:space="preserve">Extinto</w:t>
            </w:r>
          </w:p>
        </w:tc>
        <w:tc>
          <w:tcPr/>
          <w:p>
            <w:pPr>
              <w:pStyle w:val="Compact"/>
              <w:jc w:val="left"/>
            </w:pPr>
            <w:r>
              <w:t xml:space="preserve">(julgo extinto OU julgo extinta OU determino a extincao OU determinar a extincao)</w:t>
            </w:r>
          </w:p>
        </w:tc>
      </w:tr>
      <w:tr>
        <w:tc>
          <w:tcPr/>
          <w:p>
            <w:pPr>
              <w:pStyle w:val="Compact"/>
              <w:jc w:val="left"/>
            </w:pPr>
            <w:r>
              <w:t xml:space="preserve">Improcedente</w:t>
            </w:r>
          </w:p>
        </w:tc>
        <w:tc>
          <w:tcPr/>
          <w:p>
            <w:pPr>
              <w:pStyle w:val="Compact"/>
              <w:jc w:val="left"/>
            </w:pPr>
            <w:r>
              <w:t xml:space="preserve">(julgo improcedente OU indefiro a tutela)</w:t>
            </w:r>
          </w:p>
        </w:tc>
      </w:tr>
      <w:tr>
        <w:tc>
          <w:tcPr/>
          <w:p>
            <w:pPr>
              <w:pStyle w:val="Compact"/>
              <w:jc w:val="left"/>
            </w:pPr>
            <w:r>
              <w:t xml:space="preserve">Parcial</w:t>
            </w:r>
          </w:p>
        </w:tc>
        <w:tc>
          <w:tcPr/>
          <w:p>
            <w:pPr>
              <w:pStyle w:val="Compact"/>
              <w:jc w:val="left"/>
            </w:pPr>
            <w:r>
              <w:t xml:space="preserve">(julgo procedente em parte OU parcialmente procedente OU defiro parcialmente a tutela)</w:t>
            </w:r>
          </w:p>
        </w:tc>
      </w:tr>
      <w:tr>
        <w:tc>
          <w:tcPr/>
          <w:p>
            <w:pPr>
              <w:pStyle w:val="Compact"/>
              <w:jc w:val="left"/>
            </w:pPr>
            <w:r>
              <w:t xml:space="preserve">Procedente</w:t>
            </w:r>
          </w:p>
        </w:tc>
        <w:tc>
          <w:tcPr/>
          <w:p>
            <w:pPr>
              <w:pStyle w:val="Compact"/>
              <w:jc w:val="left"/>
            </w:pPr>
            <w:r>
              <w:t xml:space="preserve">(julgo (o pedido )?procedente OU homologo OU defiro a tutela)</w:t>
            </w:r>
          </w:p>
        </w:tc>
      </w:tr>
    </w:tbl>
    <w:bookmarkEnd w:id="26"/>
    <w:p>
      <w:pPr>
        <w:pStyle w:val="Corpodetexto"/>
      </w:pPr>
      <w:r>
        <w:t xml:space="preserve">A</w:t>
      </w:r>
      <w:r>
        <w:t xml:space="preserve"> </w:t>
      </w:r>
      <w:hyperlink w:anchor="tbl-tabela-resultado">
        <w:r>
          <w:rPr>
            <w:rStyle w:val="Hyperlink"/>
          </w:rPr>
          <w:t xml:space="preserve">Tabela 4</w:t>
        </w:r>
      </w:hyperlink>
      <w:r>
        <w:t xml:space="preserve"> </w:t>
      </w:r>
      <w:r>
        <w:t xml:space="preserve">mostra a quantidade de processos que caiu em cada categoria de resultado. Novamente, a classificação automática pode incorrer em erros, ou seja, pode ser que os resultados finais estejam incorretos. Os casos vazios foram retirados da análise.</w:t>
      </w:r>
    </w:p>
    <w:bookmarkStart w:id="27" w:name="tbl-tabela-resultado"/>
    <w:p>
      <w:pPr>
        <w:pStyle w:val="TableCaption"/>
      </w:pPr>
      <w:r>
        <w:t xml:space="preserve">Tabela 4: Processos classificados por resultado</w:t>
      </w:r>
    </w:p>
    <w:tbl>
      <w:tblPr>
        <w:tblStyle w:val="Table"/>
        <w:tblW w:type="auto" w:w="0"/>
        <w:tblLook w:firstRow="1" w:lastRow="0" w:firstColumn="0" w:lastColumn="0" w:noHBand="0" w:noVBand="0" w:val="0020"/>
        <w:tblCaption w:val="Tabela 4: Processos classificados por resultad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142</w:t>
            </w:r>
          </w:p>
        </w:tc>
        <w:tc>
          <w:tcPr/>
          <w:p>
            <w:pPr>
              <w:pStyle w:val="Compact"/>
              <w:jc w:val="right"/>
            </w:pPr>
            <w:r>
              <w:t xml:space="preserve">42.0%</w:t>
            </w:r>
          </w:p>
        </w:tc>
      </w:tr>
      <w:tr>
        <w:tc>
          <w:tcPr/>
          <w:p>
            <w:pPr>
              <w:pStyle w:val="Compact"/>
              <w:jc w:val="left"/>
            </w:pPr>
            <w:r>
              <w:t xml:space="preserve">Procedente</w:t>
            </w:r>
          </w:p>
        </w:tc>
        <w:tc>
          <w:tcPr/>
          <w:p>
            <w:pPr>
              <w:pStyle w:val="Compact"/>
              <w:jc w:val="right"/>
            </w:pPr>
            <w:r>
              <w:t xml:space="preserve">74</w:t>
            </w:r>
          </w:p>
        </w:tc>
        <w:tc>
          <w:tcPr/>
          <w:p>
            <w:pPr>
              <w:pStyle w:val="Compact"/>
              <w:jc w:val="right"/>
            </w:pPr>
            <w:r>
              <w:t xml:space="preserve">21.9%</w:t>
            </w:r>
          </w:p>
        </w:tc>
      </w:tr>
      <w:tr>
        <w:tc>
          <w:tcPr/>
          <w:p>
            <w:pPr>
              <w:pStyle w:val="Compact"/>
              <w:jc w:val="left"/>
            </w:pPr>
            <w:r>
              <w:t xml:space="preserve">Improcedente</w:t>
            </w:r>
          </w:p>
        </w:tc>
        <w:tc>
          <w:tcPr/>
          <w:p>
            <w:pPr>
              <w:pStyle w:val="Compact"/>
              <w:jc w:val="right"/>
            </w:pPr>
            <w:r>
              <w:t xml:space="preserve">70</w:t>
            </w:r>
          </w:p>
        </w:tc>
        <w:tc>
          <w:tcPr/>
          <w:p>
            <w:pPr>
              <w:pStyle w:val="Compact"/>
              <w:jc w:val="right"/>
            </w:pPr>
            <w:r>
              <w:t xml:space="preserve">20.7%</w:t>
            </w:r>
          </w:p>
        </w:tc>
      </w:tr>
      <w:tr>
        <w:tc>
          <w:tcPr/>
          <w:p>
            <w:pPr>
              <w:pStyle w:val="Compact"/>
              <w:jc w:val="left"/>
            </w:pPr>
            <w:r>
              <w:t xml:space="preserve">Parcial</w:t>
            </w:r>
          </w:p>
        </w:tc>
        <w:tc>
          <w:tcPr/>
          <w:p>
            <w:pPr>
              <w:pStyle w:val="Compact"/>
              <w:jc w:val="right"/>
            </w:pPr>
            <w:r>
              <w:t xml:space="preserve">27</w:t>
            </w:r>
          </w:p>
        </w:tc>
        <w:tc>
          <w:tcPr/>
          <w:p>
            <w:pPr>
              <w:pStyle w:val="Compact"/>
              <w:jc w:val="right"/>
            </w:pPr>
            <w:r>
              <w:t xml:space="preserve">8.0%</w:t>
            </w:r>
          </w:p>
        </w:tc>
      </w:tr>
      <w:tr>
        <w:tc>
          <w:tcPr/>
          <w:p>
            <w:pPr>
              <w:pStyle w:val="Compact"/>
              <w:jc w:val="left"/>
            </w:pPr>
            <w:r>
              <w:t xml:space="preserve">Acordo</w:t>
            </w:r>
          </w:p>
        </w:tc>
        <w:tc>
          <w:tcPr/>
          <w:p>
            <w:pPr>
              <w:pStyle w:val="Compact"/>
              <w:jc w:val="right"/>
            </w:pPr>
            <w:r>
              <w:t xml:space="preserve">21</w:t>
            </w:r>
          </w:p>
        </w:tc>
        <w:tc>
          <w:tcPr/>
          <w:p>
            <w:pPr>
              <w:pStyle w:val="Compact"/>
              <w:jc w:val="right"/>
            </w:pPr>
            <w:r>
              <w:t xml:space="preserve">6.2%</w:t>
            </w:r>
          </w:p>
        </w:tc>
      </w:tr>
      <w:tr>
        <w:tc>
          <w:tcPr/>
          <w:p>
            <w:pPr>
              <w:pStyle w:val="Compact"/>
              <w:jc w:val="left"/>
            </w:pPr>
            <w:r>
              <w:t xml:space="preserve">(Vazio)</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w:t>
            </w:r>
          </w:p>
        </w:tc>
      </w:tr>
    </w:tbl>
    <w:bookmarkEnd w:id="27"/>
    <w:p>
      <w:pPr>
        <w:pStyle w:val="Corpodetexto"/>
      </w:pPr>
      <w:r>
        <w:t xml:space="preserve">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bookmarkStart w:id="32" w:name="revisão-manual"/>
    <w:p>
      <w:pPr>
        <w:pStyle w:val="Ttulo3"/>
      </w:pPr>
      <w:r>
        <w:t xml:space="preserve">Revisão manual</w:t>
      </w:r>
    </w:p>
    <w:p>
      <w:pPr>
        <w:pStyle w:val="FirstParagraph"/>
      </w:pPr>
      <w:r>
        <w:t xml:space="preserve">A base de dados arrumada foi revisada manualmente a partir da leitura dos textos das decisões e outras características dos processos. A revisão foi realizada por profissionais do direito especializados no tema de arbitragem.</w:t>
      </w:r>
    </w:p>
    <w:p>
      <w:pPr>
        <w:pStyle w:val="Corpodetexto"/>
      </w:pPr>
      <w:r>
        <w:t xml:space="preserve">A primeira mudança significativa foi com relação aos casos que fazem parte do escopo. Dos 338 casos iniciais, sobraram 289 que realmente faziam parte do escopo</w:t>
      </w:r>
      <w:r>
        <w:rPr>
          <w:rStyle w:val="Refdenotaderodap"/>
        </w:rPr>
        <w:footnoteReference w:id="28"/>
      </w:r>
      <w:r>
        <w:t xml:space="preserve">.</w:t>
      </w:r>
    </w:p>
    <w:p>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w:t>
      </w:r>
      <w:r>
        <w:t xml:space="preserve"> </w:t>
      </w:r>
      <w:hyperlink w:anchor="tbl-tabela-tipo-revisao">
        <w:r>
          <w:rPr>
            <w:rStyle w:val="Hyperlink"/>
          </w:rPr>
          <w:t xml:space="preserve">Tabela 5</w:t>
        </w:r>
      </w:hyperlink>
      <w:r>
        <w:t xml:space="preserve"> </w:t>
      </w:r>
      <w:r>
        <w:t xml:space="preserve">mostra as classificações depois da correção manual.</w:t>
      </w:r>
    </w:p>
    <w:bookmarkStart w:id="29" w:name="tbl-tabela-tipo-revisao"/>
    <w:p>
      <w:pPr>
        <w:pStyle w:val="TableCaption"/>
      </w:pPr>
      <w:r>
        <w:t xml:space="preserve">Tabela 5: Processos classificados por categoria, após revisão</w:t>
      </w:r>
    </w:p>
    <w:tbl>
      <w:tblPr>
        <w:tblStyle w:val="Table"/>
        <w:tblW w:type="auto" w:w="0"/>
        <w:tblLook w:firstRow="1" w:lastRow="0" w:firstColumn="0" w:lastColumn="0" w:noHBand="0" w:noVBand="0" w:val="0020"/>
        <w:tblCaption w:val="Tabela 5: Processos classificados por categoria, após revisã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32.87%</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25.95%</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21.80%</w:t>
            </w:r>
          </w:p>
        </w:tc>
      </w:tr>
      <w:tr>
        <w:tc>
          <w:tcPr/>
          <w:p>
            <w:pPr>
              <w:pStyle w:val="Compact"/>
              <w:jc w:val="left"/>
            </w:pPr>
            <w:r>
              <w:t xml:space="preserve">Compromisso</w:t>
            </w:r>
          </w:p>
        </w:tc>
        <w:tc>
          <w:tcPr/>
          <w:p>
            <w:pPr>
              <w:pStyle w:val="Compact"/>
              <w:jc w:val="right"/>
            </w:pPr>
            <w:r>
              <w:t xml:space="preserve">46</w:t>
            </w:r>
          </w:p>
        </w:tc>
        <w:tc>
          <w:tcPr/>
          <w:p>
            <w:pPr>
              <w:pStyle w:val="Compact"/>
              <w:jc w:val="right"/>
            </w:pPr>
            <w:r>
              <w:t xml:space="preserve">15.92%</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3.46%</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100.00%</w:t>
            </w:r>
          </w:p>
        </w:tc>
      </w:tr>
    </w:tbl>
    <w:bookmarkEnd w:id="29"/>
    <w:p>
      <w:pPr>
        <w:pStyle w:val="Corpodetexto"/>
      </w:pPr>
      <w:r>
        <w:t xml:space="preserve">Com relação aos resultados, não houve mudanças tão significativas. A categoria que mais mudou foi a de acordos, que costumam ser difíceis de mapear apenas por palavras-chave. A</w:t>
      </w:r>
      <w:r>
        <w:t xml:space="preserve"> </w:t>
      </w:r>
      <w:hyperlink w:anchor="tbl-tabela-resultado-revisao">
        <w:r>
          <w:rPr>
            <w:rStyle w:val="Hyperlink"/>
          </w:rPr>
          <w:t xml:space="preserve">Tabela 6</w:t>
        </w:r>
      </w:hyperlink>
      <w:r>
        <w:t xml:space="preserve"> </w:t>
      </w:r>
      <w:r>
        <w:t xml:space="preserve">mostra as classificações depois da correção manual.</w:t>
      </w:r>
    </w:p>
    <w:bookmarkStart w:id="30" w:name="tbl-tabela-resultado-revisao"/>
    <w:p>
      <w:pPr>
        <w:pStyle w:val="TableCaption"/>
      </w:pPr>
      <w:r>
        <w:t xml:space="preserve">Tabela 6: Processos classificados por resultado, após revisão</w:t>
      </w:r>
    </w:p>
    <w:tbl>
      <w:tblPr>
        <w:tblStyle w:val="Table"/>
        <w:tblW w:type="auto" w:w="0"/>
        <w:tblLook w:firstRow="1" w:lastRow="0" w:firstColumn="0" w:lastColumn="0" w:noHBand="0" w:noVBand="0" w:val="0020"/>
        <w:tblCaption w:val="Tabela 6: Processos classificados por resultado, após revisã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124</w:t>
            </w:r>
          </w:p>
        </w:tc>
        <w:tc>
          <w:tcPr/>
          <w:p>
            <w:pPr>
              <w:pStyle w:val="Compact"/>
              <w:jc w:val="right"/>
            </w:pPr>
            <w:r>
              <w:t xml:space="preserve">42.9%</w:t>
            </w:r>
          </w:p>
        </w:tc>
      </w:tr>
      <w:tr>
        <w:tc>
          <w:tcPr/>
          <w:p>
            <w:pPr>
              <w:pStyle w:val="Compact"/>
              <w:jc w:val="left"/>
            </w:pPr>
            <w:r>
              <w:t xml:space="preserve">Improcedente</w:t>
            </w:r>
          </w:p>
        </w:tc>
        <w:tc>
          <w:tcPr/>
          <w:p>
            <w:pPr>
              <w:pStyle w:val="Compact"/>
              <w:jc w:val="right"/>
            </w:pPr>
            <w:r>
              <w:t xml:space="preserve">57</w:t>
            </w:r>
          </w:p>
        </w:tc>
        <w:tc>
          <w:tcPr/>
          <w:p>
            <w:pPr>
              <w:pStyle w:val="Compact"/>
              <w:jc w:val="right"/>
            </w:pPr>
            <w:r>
              <w:t xml:space="preserve">19.7%</w:t>
            </w:r>
          </w:p>
        </w:tc>
      </w:tr>
      <w:tr>
        <w:tc>
          <w:tcPr/>
          <w:p>
            <w:pPr>
              <w:pStyle w:val="Compact"/>
              <w:jc w:val="left"/>
            </w:pPr>
            <w:r>
              <w:t xml:space="preserve">Acordo</w:t>
            </w:r>
          </w:p>
        </w:tc>
        <w:tc>
          <w:tcPr/>
          <w:p>
            <w:pPr>
              <w:pStyle w:val="Compact"/>
              <w:jc w:val="right"/>
            </w:pPr>
            <w:r>
              <w:t xml:space="preserve">43</w:t>
            </w:r>
          </w:p>
        </w:tc>
        <w:tc>
          <w:tcPr/>
          <w:p>
            <w:pPr>
              <w:pStyle w:val="Compact"/>
              <w:jc w:val="right"/>
            </w:pPr>
            <w:r>
              <w:t xml:space="preserve">14.9%</w:t>
            </w:r>
          </w:p>
        </w:tc>
      </w:tr>
      <w:tr>
        <w:tc>
          <w:tcPr/>
          <w:p>
            <w:pPr>
              <w:pStyle w:val="Compact"/>
              <w:jc w:val="left"/>
            </w:pPr>
            <w:r>
              <w:t xml:space="preserve">Procedente</w:t>
            </w:r>
          </w:p>
        </w:tc>
        <w:tc>
          <w:tcPr/>
          <w:p>
            <w:pPr>
              <w:pStyle w:val="Compact"/>
              <w:jc w:val="right"/>
            </w:pPr>
            <w:r>
              <w:t xml:space="preserve">43</w:t>
            </w:r>
          </w:p>
        </w:tc>
        <w:tc>
          <w:tcPr/>
          <w:p>
            <w:pPr>
              <w:pStyle w:val="Compact"/>
              <w:jc w:val="right"/>
            </w:pPr>
            <w:r>
              <w:t xml:space="preserve">14.9%</w:t>
            </w:r>
          </w:p>
        </w:tc>
      </w:tr>
      <w:tr>
        <w:tc>
          <w:tcPr/>
          <w:p>
            <w:pPr>
              <w:pStyle w:val="Compact"/>
              <w:jc w:val="left"/>
            </w:pPr>
            <w:r>
              <w:t xml:space="preserve">Parcial</w:t>
            </w:r>
          </w:p>
        </w:tc>
        <w:tc>
          <w:tcPr/>
          <w:p>
            <w:pPr>
              <w:pStyle w:val="Compact"/>
              <w:jc w:val="right"/>
            </w:pPr>
            <w:r>
              <w:t xml:space="preserve">22</w:t>
            </w:r>
          </w:p>
        </w:tc>
        <w:tc>
          <w:tcPr/>
          <w:p>
            <w:pPr>
              <w:pStyle w:val="Compact"/>
              <w:jc w:val="right"/>
            </w:pPr>
            <w:r>
              <w:t xml:space="preserve">7.6%</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0"/>
    <w:p>
      <w:pPr>
        <w:pStyle w:val="Corpodetexto"/>
      </w:pPr>
      <w:r>
        <w:t xml:space="preserve">Por último, duas colunas foram adicionadas após a classificação manual. A primeira é com relação à concessão de liminar em casos de medida cautelar. A segunda é que, na revisão manual, vários casos relacionados à Unimed foram detectados. Uma coluna</w:t>
      </w:r>
      <w:r>
        <w:t xml:space="preserve"> </w:t>
      </w:r>
      <w:r>
        <w:rPr>
          <w:rStyle w:val="VerbatimChar"/>
        </w:rPr>
        <w:t xml:space="preserve">unimed</w:t>
      </w:r>
      <w:r>
        <w:t xml:space="preserve"> </w:t>
      </w:r>
      <w:r>
        <w:t xml:space="preserve">foi adicionada para permitir novos filtros de análise.</w:t>
      </w:r>
    </w:p>
    <w:p>
      <w:pPr>
        <w:pStyle w:val="Corpodetexto"/>
      </w:pPr>
      <w:r>
        <w:t xml:space="preserve">No final, a base ficou com 289 linhas e 13 colunas, contendo todas as informações utilizadas na parte de análise. A base de dados em Excel pode ser baixada</w:t>
      </w:r>
      <w:r>
        <w:t xml:space="preserve"> </w:t>
      </w:r>
      <w:hyperlink r:id="rId31">
        <w:r>
          <w:rPr>
            <w:rStyle w:val="Hyperlink"/>
          </w:rPr>
          <w:t xml:space="preserve">neste link</w:t>
        </w:r>
      </w:hyperlink>
      <w:r>
        <w:t xml:space="preserve">.</w:t>
      </w:r>
    </w:p>
    <w:bookmarkEnd w:id="32"/>
    <w:bookmarkEnd w:id="33"/>
    <w:bookmarkStart w:id="65" w:name="análise"/>
    <w:p>
      <w:pPr>
        <w:pStyle w:val="Ttulo2"/>
      </w:pPr>
      <w:r>
        <w:t xml:space="preserve">Análise</w:t>
      </w:r>
    </w:p>
    <w:p>
      <w:pPr>
        <w:pStyle w:val="FirstParagraph"/>
      </w:pPr>
      <w:r>
        <w:t xml:space="preserve">A base possui 289 casos, dentre os quais 226 são digitais ou digitalizados (78%). Em uma nova análise manual mais aprofundada, seriam considerados apenas processos digitais ou digitalizados.</w:t>
      </w:r>
    </w:p>
    <w:p>
      <w:pPr>
        <w:pStyle w:val="Corpodetexto"/>
      </w:pPr>
      <w:r>
        <w:t xml:space="preserve">A</w:t>
      </w:r>
      <w:r>
        <w:t xml:space="preserve"> </w:t>
      </w:r>
      <w:hyperlink w:anchor="tbl-status">
        <w:r>
          <w:rPr>
            <w:rStyle w:val="Hyperlink"/>
          </w:rPr>
          <w:t xml:space="preserve">Tabela 7</w:t>
        </w:r>
      </w:hyperlink>
      <w:r>
        <w:t xml:space="preserve"> </w:t>
      </w:r>
      <w:r>
        <w:t xml:space="preserve">mostra os status dos processos no momento da coleta dos dados, em novembro/2022. A maioria dos casos está extinta e aproximadamente um quinto dos casos está em grau de recurso.</w:t>
      </w:r>
    </w:p>
    <w:bookmarkStart w:id="34" w:name="tbl-status"/>
    <w:p>
      <w:pPr>
        <w:pStyle w:val="TableCaption"/>
      </w:pPr>
      <w:r>
        <w:t xml:space="preserve">Tabela 7: Status dos processos no momento da coleta dos dados</w:t>
      </w:r>
    </w:p>
    <w:tbl>
      <w:tblPr>
        <w:tblStyle w:val="Table"/>
        <w:tblW w:type="auto" w:w="0"/>
        <w:tblLook w:firstRow="1" w:lastRow="0" w:firstColumn="0" w:lastColumn="0" w:noHBand="0" w:noVBand="0" w:val="0020"/>
        <w:tblCaption w:val="Tabela 7: Status dos processos no momento da coleta dos dados"/>
      </w:tblPr>
      <w:tblGrid>
        <w:gridCol w:w="2640"/>
        <w:gridCol w:w="2640"/>
        <w:gridCol w:w="2640"/>
      </w:tblGrid>
      <w:tr>
        <w:trPr>
          <w:tblHeader w:val="true"/>
        </w:trPr>
        <w:tc>
          <w:tcPr/>
          <w:p>
            <w:pPr>
              <w:pStyle w:val="Compact"/>
              <w:jc w:val="left"/>
            </w:pPr>
            <w:r>
              <w:t xml:space="preserve">Status</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171</w:t>
            </w:r>
          </w:p>
        </w:tc>
        <w:tc>
          <w:tcPr/>
          <w:p>
            <w:pPr>
              <w:pStyle w:val="Compact"/>
              <w:jc w:val="right"/>
            </w:pPr>
            <w:r>
              <w:t xml:space="preserve">59.2%</w:t>
            </w:r>
          </w:p>
        </w:tc>
      </w:tr>
      <w:tr>
        <w:tc>
          <w:tcPr/>
          <w:p>
            <w:pPr>
              <w:pStyle w:val="Compact"/>
              <w:jc w:val="left"/>
            </w:pPr>
            <w:r>
              <w:t xml:space="preserve">Em grau de recurso</w:t>
            </w:r>
          </w:p>
        </w:tc>
        <w:tc>
          <w:tcPr/>
          <w:p>
            <w:pPr>
              <w:pStyle w:val="Compact"/>
              <w:jc w:val="right"/>
            </w:pPr>
            <w:r>
              <w:t xml:space="preserve">62</w:t>
            </w:r>
          </w:p>
        </w:tc>
        <w:tc>
          <w:tcPr/>
          <w:p>
            <w:pPr>
              <w:pStyle w:val="Compact"/>
              <w:jc w:val="right"/>
            </w:pPr>
            <w:r>
              <w:t xml:space="preserve">21.5%</w:t>
            </w:r>
          </w:p>
        </w:tc>
      </w:tr>
      <w:tr>
        <w:tc>
          <w:tcPr/>
          <w:p>
            <w:pPr>
              <w:pStyle w:val="Compact"/>
              <w:jc w:val="left"/>
            </w:pPr>
            <w:r>
              <w:t xml:space="preserve">(Vazio)</w:t>
            </w:r>
          </w:p>
        </w:tc>
        <w:tc>
          <w:tcPr/>
          <w:p>
            <w:pPr>
              <w:pStyle w:val="Compact"/>
              <w:jc w:val="right"/>
            </w:pPr>
            <w:r>
              <w:t xml:space="preserve">50</w:t>
            </w:r>
          </w:p>
        </w:tc>
        <w:tc>
          <w:tcPr/>
          <w:p>
            <w:pPr>
              <w:pStyle w:val="Compact"/>
              <w:jc w:val="right"/>
            </w:pPr>
            <w:r>
              <w:t xml:space="preserve">17.3%</w:t>
            </w:r>
          </w:p>
        </w:tc>
      </w:tr>
      <w:tr>
        <w:tc>
          <w:tcPr/>
          <w:p>
            <w:pPr>
              <w:pStyle w:val="Compact"/>
              <w:jc w:val="left"/>
            </w:pPr>
            <w:r>
              <w:t xml:space="preserve">Suspenso</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4"/>
    <w:p>
      <w:pPr>
        <w:pStyle w:val="Corpodetexto"/>
      </w:pPr>
      <w:r>
        <w:t xml:space="preserve">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pPr>
        <w:pStyle w:val="Corpodetexto"/>
      </w:pPr>
      <w:r>
        <w:t xml:space="preserve">A</w:t>
      </w:r>
      <w:r>
        <w:t xml:space="preserve"> </w:t>
      </w:r>
      <w:hyperlink w:anchor="tbl-classe">
        <w:r>
          <w:rPr>
            <w:rStyle w:val="Hyperlink"/>
          </w:rPr>
          <w:t xml:space="preserve">Tabela 8</w:t>
        </w:r>
      </w:hyperlink>
      <w:r>
        <w:t xml:space="preserve"> </w:t>
      </w:r>
      <w:r>
        <w:t xml:space="preserve">mostra as classes processuais mais comuns encontradas. É possível notar que existem muitas classes que não são relacionadas diretamente a arbitragem.</w:t>
      </w:r>
    </w:p>
    <w:bookmarkStart w:id="35" w:name="tbl-classe"/>
    <w:p>
      <w:pPr>
        <w:pStyle w:val="TableCaption"/>
      </w:pPr>
      <w:r>
        <w:t xml:space="preserve">Tabela 8: Classes mais comuns</w:t>
      </w:r>
    </w:p>
    <w:tbl>
      <w:tblPr>
        <w:tblStyle w:val="Table"/>
        <w:tblW w:type="auto" w:w="0"/>
        <w:tblLook w:firstRow="1" w:lastRow="0" w:firstColumn="0" w:lastColumn="0" w:noHBand="0" w:noVBand="0" w:val="0020"/>
        <w:tblCaption w:val="Tabela 8: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Compromisso Arbitral</w:t>
            </w:r>
          </w:p>
        </w:tc>
        <w:tc>
          <w:tcPr/>
          <w:p>
            <w:pPr>
              <w:pStyle w:val="Compact"/>
              <w:jc w:val="right"/>
            </w:pPr>
            <w:r>
              <w:t xml:space="preserve">77</w:t>
            </w:r>
          </w:p>
        </w:tc>
        <w:tc>
          <w:tcPr/>
          <w:p>
            <w:pPr>
              <w:pStyle w:val="Compact"/>
              <w:jc w:val="right"/>
            </w:pPr>
            <w:r>
              <w:t xml:space="preserve">26.6%</w:t>
            </w:r>
          </w:p>
        </w:tc>
      </w:tr>
      <w:tr>
        <w:tc>
          <w:tcPr/>
          <w:p>
            <w:pPr>
              <w:pStyle w:val="Compact"/>
              <w:jc w:val="left"/>
            </w:pPr>
            <w:r>
              <w:t xml:space="preserve">Procedimento Comum Cível</w:t>
            </w:r>
          </w:p>
        </w:tc>
        <w:tc>
          <w:tcPr/>
          <w:p>
            <w:pPr>
              <w:pStyle w:val="Compact"/>
              <w:jc w:val="right"/>
            </w:pPr>
            <w:r>
              <w:t xml:space="preserve">64</w:t>
            </w:r>
          </w:p>
        </w:tc>
        <w:tc>
          <w:tcPr/>
          <w:p>
            <w:pPr>
              <w:pStyle w:val="Compact"/>
              <w:jc w:val="right"/>
            </w:pPr>
            <w:r>
              <w:t xml:space="preserve">22.1%</w:t>
            </w:r>
          </w:p>
        </w:tc>
      </w:tr>
      <w:tr>
        <w:tc>
          <w:tcPr/>
          <w:p>
            <w:pPr>
              <w:pStyle w:val="Compact"/>
              <w:jc w:val="left"/>
            </w:pPr>
            <w:r>
              <w:t xml:space="preserve">Cumprimento de sentença - Lei Arbitral (Lei 9.307/1996)</w:t>
            </w:r>
          </w:p>
        </w:tc>
        <w:tc>
          <w:tcPr/>
          <w:p>
            <w:pPr>
              <w:pStyle w:val="Compact"/>
              <w:jc w:val="right"/>
            </w:pPr>
            <w:r>
              <w:t xml:space="preserve">54</w:t>
            </w:r>
          </w:p>
        </w:tc>
        <w:tc>
          <w:tcPr/>
          <w:p>
            <w:pPr>
              <w:pStyle w:val="Compact"/>
              <w:jc w:val="right"/>
            </w:pPr>
            <w:r>
              <w:t xml:space="preserve">18.7%</w:t>
            </w:r>
          </w:p>
        </w:tc>
      </w:tr>
      <w:tr>
        <w:tc>
          <w:tcPr/>
          <w:p>
            <w:pPr>
              <w:pStyle w:val="Compact"/>
              <w:jc w:val="left"/>
            </w:pPr>
            <w:r>
              <w:t xml:space="preserve">Tutela Cautelar Antecedente</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Cumprimento de sentença</w:t>
            </w:r>
          </w:p>
        </w:tc>
        <w:tc>
          <w:tcPr/>
          <w:p>
            <w:pPr>
              <w:pStyle w:val="Compact"/>
              <w:jc w:val="right"/>
            </w:pPr>
            <w:r>
              <w:t xml:space="preserve">22</w:t>
            </w:r>
          </w:p>
        </w:tc>
        <w:tc>
          <w:tcPr/>
          <w:p>
            <w:pPr>
              <w:pStyle w:val="Compact"/>
              <w:jc w:val="right"/>
            </w:pPr>
            <w:r>
              <w:t xml:space="preserve">7.6%</w:t>
            </w:r>
          </w:p>
        </w:tc>
      </w:tr>
      <w:tr>
        <w:tc>
          <w:tcPr/>
          <w:p>
            <w:pPr>
              <w:pStyle w:val="Compact"/>
              <w:jc w:val="left"/>
            </w:pPr>
            <w:r>
              <w:t xml:space="preserve">Tutela Antecipada Antecedente</w:t>
            </w:r>
          </w:p>
        </w:tc>
        <w:tc>
          <w:tcPr/>
          <w:p>
            <w:pPr>
              <w:pStyle w:val="Compact"/>
              <w:jc w:val="right"/>
            </w:pPr>
            <w:r>
              <w:t xml:space="preserve">16</w:t>
            </w:r>
          </w:p>
        </w:tc>
        <w:tc>
          <w:tcPr/>
          <w:p>
            <w:pPr>
              <w:pStyle w:val="Compact"/>
              <w:jc w:val="right"/>
            </w:pPr>
            <w:r>
              <w:t xml:space="preserve">5.5%</w:t>
            </w:r>
          </w:p>
        </w:tc>
      </w:tr>
      <w:tr>
        <w:tc>
          <w:tcPr/>
          <w:p>
            <w:pPr>
              <w:pStyle w:val="Compact"/>
              <w:jc w:val="left"/>
            </w:pPr>
            <w:r>
              <w:t xml:space="preserve">Produção Antecipada da Prova</w:t>
            </w:r>
          </w:p>
        </w:tc>
        <w:tc>
          <w:tcPr/>
          <w:p>
            <w:pPr>
              <w:pStyle w:val="Compact"/>
              <w:jc w:val="right"/>
            </w:pPr>
            <w:r>
              <w:t xml:space="preserve">7</w:t>
            </w:r>
          </w:p>
        </w:tc>
        <w:tc>
          <w:tcPr/>
          <w:p>
            <w:pPr>
              <w:pStyle w:val="Compact"/>
              <w:jc w:val="right"/>
            </w:pPr>
            <w:r>
              <w:t xml:space="preserve">2.4%</w:t>
            </w:r>
          </w:p>
        </w:tc>
      </w:tr>
      <w:tr>
        <w:tc>
          <w:tcPr/>
          <w:p>
            <w:pPr>
              <w:pStyle w:val="Compact"/>
              <w:jc w:val="left"/>
            </w:pPr>
            <w:r>
              <w:t xml:space="preserve">Dissolução Parcial de Sociedade</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Embargos à Execução</w:t>
            </w:r>
          </w:p>
        </w:tc>
        <w:tc>
          <w:tcPr/>
          <w:p>
            <w:pPr>
              <w:pStyle w:val="Compact"/>
              <w:jc w:val="right"/>
            </w:pPr>
            <w:r>
              <w:t xml:space="preserve">2</w:t>
            </w:r>
          </w:p>
        </w:tc>
        <w:tc>
          <w:tcPr/>
          <w:p>
            <w:pPr>
              <w:pStyle w:val="Compact"/>
              <w:jc w:val="right"/>
            </w:pPr>
            <w:r>
              <w:t xml:space="preserve">0.7%</w:t>
            </w:r>
          </w:p>
        </w:tc>
      </w:tr>
      <w:tr>
        <w:tc>
          <w:tcPr/>
          <w:p>
            <w:pPr>
              <w:pStyle w:val="Compact"/>
              <w:jc w:val="left"/>
            </w:pPr>
            <w:r>
              <w:t xml:space="preserve">Interpelação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5"/>
    <w:p>
      <w:pPr>
        <w:pStyle w:val="Corpodetexto"/>
      </w:pPr>
      <w:r>
        <w:t xml:space="preserve">A</w:t>
      </w:r>
      <w:r>
        <w:t xml:space="preserve"> </w:t>
      </w:r>
      <w:hyperlink w:anchor="tbl-assunto">
        <w:r>
          <w:rPr>
            <w:rStyle w:val="Hyperlink"/>
          </w:rPr>
          <w:t xml:space="preserve">Tabela 9</w:t>
        </w:r>
      </w:hyperlink>
      <w:r>
        <w:t xml:space="preserve"> </w:t>
      </w:r>
      <w:r>
        <w:t xml:space="preserve">mostra os dez assuntos processuais mais comuns encontrados. Assim como nas classes, é possível notar que existem muitos assuntos que não são relacionadas diretamente a arbitragem.</w:t>
      </w:r>
    </w:p>
    <w:bookmarkStart w:id="36" w:name="tbl-assunto"/>
    <w:p>
      <w:pPr>
        <w:pStyle w:val="TableCaption"/>
      </w:pPr>
      <w:r>
        <w:t xml:space="preserve">Tabela 9: Assuntos mais comuns</w:t>
      </w:r>
    </w:p>
    <w:tbl>
      <w:tblPr>
        <w:tblStyle w:val="Table"/>
        <w:tblW w:type="pct" w:w="5000"/>
        <w:tblLook w:firstRow="1" w:lastRow="0" w:firstColumn="0" w:lastColumn="0" w:noHBand="0" w:noVBand="0" w:val="0020"/>
        <w:tblCaption w:val="Tabela 9: Assuntos mais comuns"/>
      </w:tblPr>
      <w:tblGrid>
        <w:gridCol w:w="6882"/>
        <w:gridCol w:w="377"/>
        <w:gridCol w:w="66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Defeito, nulidade ou anulação</w:t>
            </w:r>
          </w:p>
        </w:tc>
        <w:tc>
          <w:tcPr/>
          <w:p>
            <w:pPr>
              <w:pStyle w:val="Compact"/>
              <w:jc w:val="right"/>
            </w:pPr>
            <w:r>
              <w:t xml:space="preserve">92</w:t>
            </w:r>
          </w:p>
        </w:tc>
        <w:tc>
          <w:tcPr/>
          <w:p>
            <w:pPr>
              <w:pStyle w:val="Compact"/>
              <w:jc w:val="right"/>
            </w:pPr>
            <w:r>
              <w:t xml:space="preserve">31.8%</w:t>
            </w:r>
          </w:p>
        </w:tc>
      </w:tr>
      <w:tr>
        <w:tc>
          <w:tcPr/>
          <w:p>
            <w:pPr>
              <w:pStyle w:val="Compact"/>
              <w:jc w:val="left"/>
            </w:pPr>
            <w:r>
              <w:t xml:space="preserve">Sentença arbitral (artigo 515, inciso VII, CPC)</w:t>
            </w:r>
          </w:p>
        </w:tc>
        <w:tc>
          <w:tcPr/>
          <w:p>
            <w:pPr>
              <w:pStyle w:val="Compact"/>
              <w:jc w:val="right"/>
            </w:pPr>
            <w:r>
              <w:t xml:space="preserve">60</w:t>
            </w:r>
          </w:p>
        </w:tc>
        <w:tc>
          <w:tcPr/>
          <w:p>
            <w:pPr>
              <w:pStyle w:val="Compact"/>
              <w:jc w:val="right"/>
            </w:pPr>
            <w:r>
              <w:t xml:space="preserve">20.8%</w:t>
            </w:r>
          </w:p>
        </w:tc>
      </w:tr>
      <w:tr>
        <w:tc>
          <w:tcPr/>
          <w:p>
            <w:pPr>
              <w:pStyle w:val="Compact"/>
              <w:jc w:val="left"/>
            </w:pPr>
            <w:r>
              <w:t xml:space="preserve">Liminar</w:t>
            </w:r>
          </w:p>
        </w:tc>
        <w:tc>
          <w:tcPr/>
          <w:p>
            <w:pPr>
              <w:pStyle w:val="Compact"/>
              <w:jc w:val="right"/>
            </w:pPr>
            <w:r>
              <w:t xml:space="preserve">45</w:t>
            </w:r>
          </w:p>
        </w:tc>
        <w:tc>
          <w:tcPr/>
          <w:p>
            <w:pPr>
              <w:pStyle w:val="Compact"/>
              <w:jc w:val="right"/>
            </w:pPr>
            <w:r>
              <w:t xml:space="preserve">15.6%</w:t>
            </w:r>
          </w:p>
        </w:tc>
      </w:tr>
      <w:tr>
        <w:tc>
          <w:tcPr/>
          <w:p>
            <w:pPr>
              <w:pStyle w:val="Compact"/>
              <w:jc w:val="left"/>
            </w:pPr>
            <w:r>
              <w:t xml:space="preserve">Outros</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Franquia</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Medida cautelar ou de urgência pré-arbitral (Art. 22-A, Lei nº 9.307/96)</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Constrição / Penhora / Avaliação / Indisponibilidade de Bens</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Obrigação de Fazer / Não Fazer</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Valor da Execução / Cálculo / Atualização</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Obrigações</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Provas em geral</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6"/>
    <w:p>
      <w:pPr>
        <w:pStyle w:val="Corpodetexto"/>
      </w:pPr>
      <w:r>
        <w:t xml:space="preserve">A</w:t>
      </w:r>
      <w:r>
        <w:t xml:space="preserve"> </w:t>
      </w:r>
      <w:hyperlink w:anchor="tbl-valor">
        <w:r>
          <w:rPr>
            <w:rStyle w:val="Hyperlink"/>
          </w:rPr>
          <w:t xml:space="preserve">Tabela 10</w:t>
        </w:r>
      </w:hyperlink>
      <w:r>
        <w:t xml:space="preserve"> </w:t>
      </w:r>
      <w:r>
        <w:t xml:space="preserve">mostra a contagem de processos por faixa de valores de causa. É possível notar que existe uma alta assimetria, já que temos vários processos de até 10 mil reais, mas também processos de mais de 10 milhões de reais.</w:t>
      </w:r>
    </w:p>
    <w:bookmarkStart w:id="37" w:name="tbl-valor"/>
    <w:p>
      <w:pPr>
        <w:pStyle w:val="TableCaption"/>
      </w:pPr>
      <w:r>
        <w:t xml:space="preserve">Tabela 10: Faixas de valores</w:t>
      </w:r>
    </w:p>
    <w:tbl>
      <w:tblPr>
        <w:tblStyle w:val="Table"/>
        <w:tblW w:type="auto" w:w="0"/>
        <w:tblLook w:firstRow="1" w:lastRow="0" w:firstColumn="0" w:lastColumn="0" w:noHBand="0" w:noVBand="0" w:val="0020"/>
        <w:tblCaption w:val="Tabela 10: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102</w:t>
            </w:r>
          </w:p>
        </w:tc>
        <w:tc>
          <w:tcPr/>
          <w:p>
            <w:pPr>
              <w:pStyle w:val="Compact"/>
              <w:jc w:val="right"/>
            </w:pPr>
            <w:r>
              <w:t xml:space="preserve">35.3%</w:t>
            </w:r>
          </w:p>
        </w:tc>
      </w:tr>
      <w:tr>
        <w:tc>
          <w:tcPr/>
          <w:p>
            <w:pPr>
              <w:pStyle w:val="Compact"/>
              <w:jc w:val="left"/>
            </w:pPr>
            <w:r>
              <w:t xml:space="preserve">Entre R$ 10.000 e R$ 100.000</w:t>
            </w:r>
          </w:p>
        </w:tc>
        <w:tc>
          <w:tcPr/>
          <w:p>
            <w:pPr>
              <w:pStyle w:val="Compact"/>
              <w:jc w:val="right"/>
            </w:pPr>
            <w:r>
              <w:t xml:space="preserve">63</w:t>
            </w:r>
          </w:p>
        </w:tc>
        <w:tc>
          <w:tcPr/>
          <w:p>
            <w:pPr>
              <w:pStyle w:val="Compact"/>
              <w:jc w:val="right"/>
            </w:pPr>
            <w:r>
              <w:t xml:space="preserve">21.8%</w:t>
            </w:r>
          </w:p>
        </w:tc>
      </w:tr>
      <w:tr>
        <w:tc>
          <w:tcPr/>
          <w:p>
            <w:pPr>
              <w:pStyle w:val="Compact"/>
              <w:jc w:val="left"/>
            </w:pPr>
            <w:r>
              <w:t xml:space="preserve">Entre R$ 100.000 e R$ 1 milhão</w:t>
            </w:r>
          </w:p>
        </w:tc>
        <w:tc>
          <w:tcPr/>
          <w:p>
            <w:pPr>
              <w:pStyle w:val="Compact"/>
              <w:jc w:val="right"/>
            </w:pPr>
            <w:r>
              <w:t xml:space="preserve">74</w:t>
            </w:r>
          </w:p>
        </w:tc>
        <w:tc>
          <w:tcPr/>
          <w:p>
            <w:pPr>
              <w:pStyle w:val="Compact"/>
              <w:jc w:val="right"/>
            </w:pPr>
            <w:r>
              <w:t xml:space="preserve">25.6%</w:t>
            </w:r>
          </w:p>
        </w:tc>
      </w:tr>
      <w:tr>
        <w:tc>
          <w:tcPr/>
          <w:p>
            <w:pPr>
              <w:pStyle w:val="Compact"/>
              <w:jc w:val="left"/>
            </w:pPr>
            <w:r>
              <w:t xml:space="preserve">Entre R$ 1 milhão e R$ 10 milhões</w:t>
            </w:r>
          </w:p>
        </w:tc>
        <w:tc>
          <w:tcPr/>
          <w:p>
            <w:pPr>
              <w:pStyle w:val="Compact"/>
              <w:jc w:val="right"/>
            </w:pPr>
            <w:r>
              <w:t xml:space="preserve">28</w:t>
            </w:r>
          </w:p>
        </w:tc>
        <w:tc>
          <w:tcPr/>
          <w:p>
            <w:pPr>
              <w:pStyle w:val="Compact"/>
              <w:jc w:val="right"/>
            </w:pPr>
            <w:r>
              <w:t xml:space="preserve">9.7%</w:t>
            </w:r>
          </w:p>
        </w:tc>
      </w:tr>
      <w:tr>
        <w:tc>
          <w:tcPr/>
          <w:p>
            <w:pPr>
              <w:pStyle w:val="Compact"/>
              <w:jc w:val="left"/>
            </w:pPr>
            <w:r>
              <w:t xml:space="preserve">R$ 10 milhões ou mais</w:t>
            </w:r>
          </w:p>
        </w:tc>
        <w:tc>
          <w:tcPr/>
          <w:p>
            <w:pPr>
              <w:pStyle w:val="Compact"/>
              <w:jc w:val="right"/>
            </w:pPr>
            <w:r>
              <w:t xml:space="preserve">21</w:t>
            </w:r>
          </w:p>
        </w:tc>
        <w:tc>
          <w:tcPr/>
          <w:p>
            <w:pPr>
              <w:pStyle w:val="Compact"/>
              <w:jc w:val="right"/>
            </w:pPr>
            <w:r>
              <w:t xml:space="preserve">7.3%</w:t>
            </w:r>
          </w:p>
        </w:tc>
      </w:tr>
      <w:tr>
        <w:tc>
          <w:tcPr/>
          <w:p>
            <w:pPr>
              <w:pStyle w:val="Compact"/>
              <w:jc w:val="left"/>
            </w:pPr>
            <w:r>
              <w:t xml:space="preserve">(Vazio)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7"/>
    <w:p>
      <w:pPr>
        <w:pStyle w:val="Corpodetexto"/>
      </w:pPr>
      <w:r>
        <w:t xml:space="preserve">A</w:t>
      </w:r>
      <w:r>
        <w:t xml:space="preserve"> </w:t>
      </w:r>
      <w:hyperlink w:anchor="tbl-vara">
        <w:r>
          <w:rPr>
            <w:rStyle w:val="Hyperlink"/>
          </w:rPr>
          <w:t xml:space="preserve">Tabela 11</w:t>
        </w:r>
      </w:hyperlink>
      <w:r>
        <w:t xml:space="preserve"> </w:t>
      </w:r>
      <w:r>
        <w:t xml:space="preserve">mostra a contagem de processos por vara. As varas empresariais do foro central cível concentram a maior parte dos casos. Por conta do pequeno número de informações, as análises de contagem de resultados e categorias por vara vão desconsiderar as RAJs.</w:t>
      </w:r>
    </w:p>
    <w:bookmarkStart w:id="38" w:name="tbl-vara"/>
    <w:p>
      <w:pPr>
        <w:pStyle w:val="TableCaption"/>
      </w:pPr>
      <w:r>
        <w:t xml:space="preserve">Tabela 11: Quantidade de processos por vara</w:t>
      </w:r>
    </w:p>
    <w:tbl>
      <w:tblPr>
        <w:tblStyle w:val="Table"/>
        <w:tblW w:type="pct" w:w="5000"/>
        <w:tblLook w:firstRow="1" w:lastRow="0" w:firstColumn="0" w:lastColumn="0" w:noHBand="0" w:noVBand="0" w:val="0020"/>
        <w:tblCaption w:val="Tabela 11: Quantidade de processos por vara"/>
      </w:tblPr>
      <w:tblGrid>
        <w:gridCol w:w="7012"/>
        <w:gridCol w:w="330"/>
        <w:gridCol w:w="577"/>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1ª VARA EMPRESARIAL E CONFLITOS DE ARBITRAGEM</w:t>
            </w:r>
          </w:p>
        </w:tc>
        <w:tc>
          <w:tcPr/>
          <w:p>
            <w:pPr>
              <w:pStyle w:val="Compact"/>
              <w:jc w:val="right"/>
            </w:pPr>
            <w:r>
              <w:t xml:space="preserve">140</w:t>
            </w:r>
          </w:p>
        </w:tc>
        <w:tc>
          <w:tcPr/>
          <w:p>
            <w:pPr>
              <w:pStyle w:val="Compact"/>
              <w:jc w:val="right"/>
            </w:pPr>
            <w:r>
              <w:t xml:space="preserve">48.4%</w:t>
            </w:r>
          </w:p>
        </w:tc>
      </w:tr>
      <w:tr>
        <w:tc>
          <w:tcPr/>
          <w:p>
            <w:pPr>
              <w:pStyle w:val="Compact"/>
              <w:jc w:val="left"/>
            </w:pPr>
            <w:r>
              <w:t xml:space="preserve">2ª VARA EMPRESARIAL E CONFLITOS DE ARBITRAGEM</w:t>
            </w:r>
          </w:p>
        </w:tc>
        <w:tc>
          <w:tcPr/>
          <w:p>
            <w:pPr>
              <w:pStyle w:val="Compact"/>
              <w:jc w:val="right"/>
            </w:pPr>
            <w:r>
              <w:t xml:space="preserve">137</w:t>
            </w:r>
          </w:p>
        </w:tc>
        <w:tc>
          <w:tcPr/>
          <w:p>
            <w:pPr>
              <w:pStyle w:val="Compact"/>
              <w:jc w:val="right"/>
            </w:pPr>
            <w:r>
              <w:t xml:space="preserve">47.4%</w:t>
            </w:r>
          </w:p>
        </w:tc>
      </w:tr>
      <w:tr>
        <w:tc>
          <w:tcPr/>
          <w:p>
            <w:pPr>
              <w:pStyle w:val="Compact"/>
              <w:jc w:val="left"/>
            </w:pPr>
            <w:r>
              <w:t xml:space="preserve">1ª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2ª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8"/>
    <w:p>
      <w:pPr>
        <w:pStyle w:val="Corpodetexto"/>
      </w:pPr>
      <w:r>
        <w:t xml:space="preserve">A</w:t>
      </w:r>
      <w:r>
        <w:t xml:space="preserve"> </w:t>
      </w:r>
      <w:hyperlink w:anchor="fig-no-tempo">
        <w:r>
          <w:rPr>
            <w:rStyle w:val="Hyperlink"/>
          </w:rPr>
          <w:t xml:space="preserve">Figura 1</w:t>
        </w:r>
      </w:hyperlink>
      <w:r>
        <w:t xml:space="preserve"> </w:t>
      </w:r>
      <w:r>
        <w:t xml:space="preserve">mostra o volume de decisões ao longo do tempo, considerando como base a data de disponibilização das sentenças. É possível notar um aumento na quantidade de decisões nos anos de 2021 e 2022 (que ainda não acabou).</w:t>
      </w:r>
    </w:p>
    <w:tbl>
      <w:tblPr>
        <w:tblStyle w:val="Table"/>
        <w:tblW w:type="pct" w:w="5000"/>
        <w:tblLook w:firstRow="0" w:lastRow="0" w:firstColumn="0" w:lastColumn="0" w:noHBand="0" w:noVBand="0" w:val="0000"/>
      </w:tblPr>
      <w:tblGrid>
        <w:gridCol w:w="7920"/>
      </w:tblGrid>
      <w:tr>
        <w:tc>
          <w:tcPr/>
          <w:bookmarkStart w:id="42" w:name="fig-no-tempo"/>
          <w:p>
            <w:pPr>
              <w:pStyle w:val="Figure"/>
              <w:jc w:val="center"/>
            </w:pPr>
            <w:r>
              <w:drawing>
                <wp:inline>
                  <wp:extent cx="5943600" cy="3396342"/>
                  <wp:effectExtent b="0" l="0" r="0" t="0"/>
                  <wp:docPr descr="" title="" id="40" name="Picture"/>
                  <a:graphic>
                    <a:graphicData uri="http://schemas.openxmlformats.org/drawingml/2006/picture">
                      <pic:pic>
                        <pic:nvPicPr>
                          <pic:cNvPr descr="relatorio_files/figure-docx/fig-no-tempo-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Quantidade de decisões por ano</w:t>
            </w:r>
          </w:p>
          <w:bookmarkEnd w:id="42"/>
        </w:tc>
      </w:tr>
    </w:tbl>
    <w:p>
      <w:pPr>
        <w:pStyle w:val="Corpodetexto"/>
      </w:pPr>
      <w:r>
        <w:t xml:space="preserve">A</w:t>
      </w:r>
      <w:r>
        <w:t xml:space="preserve"> </w:t>
      </w:r>
      <w:hyperlink w:anchor="fig-no-tempo-categoria">
        <w:r>
          <w:rPr>
            <w:rStyle w:val="Hyperlink"/>
          </w:rPr>
          <w:t xml:space="preserve">Figura 2</w:t>
        </w:r>
      </w:hyperlink>
      <w:r>
        <w:t xml:space="preserve"> </w:t>
      </w:r>
      <w:r>
        <w:t xml:space="preserve">mostra o volume de decisões ao longo do tempo, separando por categoria de caso. Com exceção das ações de Anulação, é possível observar um crescimento de casos nos anos de 2021 e 2022.</w:t>
      </w:r>
    </w:p>
    <w:tbl>
      <w:tblPr>
        <w:tblStyle w:val="Table"/>
        <w:tblW w:type="pct" w:w="5000"/>
        <w:tblLook w:firstRow="0" w:lastRow="0" w:firstColumn="0" w:lastColumn="0" w:noHBand="0" w:noVBand="0" w:val="0000"/>
      </w:tblPr>
      <w:tblGrid>
        <w:gridCol w:w="7920"/>
      </w:tblGrid>
      <w:tr>
        <w:tc>
          <w:tcPr/>
          <w:bookmarkStart w:id="46" w:name="fig-no-tempo-categoria"/>
          <w:p>
            <w:pPr>
              <w:pStyle w:val="Figure"/>
              <w:jc w:val="center"/>
            </w:pPr>
            <w:r>
              <w:drawing>
                <wp:inline>
                  <wp:extent cx="5943600" cy="3396342"/>
                  <wp:effectExtent b="0" l="0" r="0" t="0"/>
                  <wp:docPr descr="" title="" id="44" name="Picture"/>
                  <a:graphic>
                    <a:graphicData uri="http://schemas.openxmlformats.org/drawingml/2006/picture">
                      <pic:pic>
                        <pic:nvPicPr>
                          <pic:cNvPr descr="relatorio_files/figure-docx/fig-no-tempo-categoria-1.png" id="45" name="Picture"/>
                          <pic:cNvPicPr>
                            <a:picLocks noChangeArrowheads="1" noChangeAspect="1"/>
                          </pic:cNvPicPr>
                        </pic:nvPicPr>
                        <pic:blipFill>
                          <a:blip r:embed="rId4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Quantidade de decisões por ano e categoria</w:t>
            </w:r>
          </w:p>
          <w:bookmarkEnd w:id="46"/>
        </w:tc>
      </w:tr>
    </w:tbl>
    <w:p>
      <w:pPr>
        <w:pStyle w:val="Corpodetexto"/>
      </w:pPr>
      <w:r>
        <w:t xml:space="preserve">A</w:t>
      </w:r>
      <w:r>
        <w:t xml:space="preserve"> </w:t>
      </w:r>
      <w:hyperlink w:anchor="tbl-resultado">
        <w:r>
          <w:rPr>
            <w:rStyle w:val="Hyperlink"/>
          </w:rPr>
          <w:t xml:space="preserve">Tabela 12</w:t>
        </w:r>
      </w:hyperlink>
      <w:r>
        <w:t xml:space="preserve"> </w:t>
      </w:r>
      <w:r>
        <w:t xml:space="preserve">mostra os resultados dos processos por categoria. Nas últimas linha e coluna, são apresentadas as contagens e proporções marginais. A proporção de casos extintos observada é mais alta do que o comum em análises de processos do TJSP. A taxa de procedência em anulatórias (considerando casos procedentes, parcialmente procedentes e acordos) é de 45%.</w:t>
      </w:r>
    </w:p>
    <w:bookmarkStart w:id="47" w:name="tbl-resultado"/>
    <w:p>
      <w:pPr>
        <w:pStyle w:val="TableCaption"/>
      </w:pPr>
      <w:r>
        <w:t xml:space="preserve">Tabela 12: Resultados dos processos por categoria</w:t>
      </w:r>
    </w:p>
    <w:tbl>
      <w:tblPr>
        <w:tblStyle w:val="Table"/>
        <w:tblW w:type="pct" w:w="5000"/>
        <w:tblLook w:firstRow="1" w:lastRow="0" w:firstColumn="0" w:lastColumn="0" w:noHBand="0" w:noVBand="0" w:val="0020"/>
        <w:tblCaption w:val="Tabela 12: Resultados dos processos por categoria"/>
      </w:tblPr>
      <w:tblGrid>
        <w:gridCol w:w="1267"/>
        <w:gridCol w:w="950"/>
        <w:gridCol w:w="1056"/>
        <w:gridCol w:w="1372"/>
        <w:gridCol w:w="950"/>
        <w:gridCol w:w="1161"/>
        <w:gridCol w:w="1161"/>
      </w:tblGrid>
      <w:tr>
        <w:trPr>
          <w:tblHeader w:val="true"/>
        </w:trPr>
        <w:tc>
          <w:tcPr/>
          <w:p>
            <w:pPr>
              <w:pStyle w:val="Compact"/>
              <w:jc w:val="left"/>
            </w:pPr>
            <w:r>
              <w:t xml:space="preserve">Categoria</w:t>
            </w:r>
          </w:p>
        </w:tc>
        <w:tc>
          <w:tcPr/>
          <w:p>
            <w:pPr>
              <w:pStyle w:val="Compact"/>
              <w:jc w:val="left"/>
            </w:pPr>
            <w:r>
              <w:t xml:space="preserve">Acordo</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2 (2%)</w:t>
            </w:r>
          </w:p>
        </w:tc>
        <w:tc>
          <w:tcPr/>
          <w:p>
            <w:pPr>
              <w:pStyle w:val="Compact"/>
              <w:jc w:val="left"/>
            </w:pPr>
            <w:r>
              <w:t xml:space="preserve">6 (6%)</w:t>
            </w:r>
          </w:p>
        </w:tc>
        <w:tc>
          <w:tcPr/>
          <w:p>
            <w:pPr>
              <w:pStyle w:val="Compact"/>
              <w:jc w:val="left"/>
            </w:pPr>
            <w:r>
              <w:t xml:space="preserve">46 (48%)</w:t>
            </w:r>
          </w:p>
        </w:tc>
        <w:tc>
          <w:tcPr/>
          <w:p>
            <w:pPr>
              <w:pStyle w:val="Compact"/>
              <w:jc w:val="left"/>
            </w:pPr>
            <w:r>
              <w:t xml:space="preserve">16 (17%)</w:t>
            </w:r>
          </w:p>
        </w:tc>
        <w:tc>
          <w:tcPr/>
          <w:p>
            <w:pPr>
              <w:pStyle w:val="Compact"/>
              <w:jc w:val="left"/>
            </w:pPr>
            <w:r>
              <w:t xml:space="preserve">25 (26%)</w:t>
            </w:r>
          </w:p>
        </w:tc>
        <w:tc>
          <w:tcPr/>
          <w:p>
            <w:pPr>
              <w:pStyle w:val="Compact"/>
              <w:jc w:val="left"/>
            </w:pPr>
            <w:r>
              <w:t xml:space="preserve">95 (33%)</w:t>
            </w:r>
          </w:p>
        </w:tc>
      </w:tr>
      <w:tr>
        <w:tc>
          <w:tcPr/>
          <w:p>
            <w:pPr>
              <w:pStyle w:val="Compact"/>
              <w:jc w:val="left"/>
            </w:pPr>
            <w:r>
              <w:t xml:space="preserve">Cautelar</w:t>
            </w:r>
          </w:p>
        </w:tc>
        <w:tc>
          <w:tcPr/>
          <w:p>
            <w:pPr>
              <w:pStyle w:val="Compact"/>
              <w:jc w:val="left"/>
            </w:pPr>
            <w:r>
              <w:t xml:space="preserve">9 (14%)</w:t>
            </w:r>
          </w:p>
        </w:tc>
        <w:tc>
          <w:tcPr/>
          <w:p>
            <w:pPr>
              <w:pStyle w:val="Compact"/>
              <w:jc w:val="left"/>
            </w:pPr>
            <w:r>
              <w:t xml:space="preserve">40 (63%)</w:t>
            </w:r>
          </w:p>
        </w:tc>
        <w:tc>
          <w:tcPr/>
          <w:p>
            <w:pPr>
              <w:pStyle w:val="Compact"/>
              <w:jc w:val="left"/>
            </w:pPr>
            <w:r>
              <w:t xml:space="preserve">10 (16%)</w:t>
            </w:r>
          </w:p>
        </w:tc>
        <w:tc>
          <w:tcPr/>
          <w:p>
            <w:pPr>
              <w:pStyle w:val="Compact"/>
              <w:jc w:val="left"/>
            </w:pPr>
            <w:r>
              <w:t xml:space="preserve">0 (0%)</w:t>
            </w:r>
          </w:p>
        </w:tc>
        <w:tc>
          <w:tcPr/>
          <w:p>
            <w:pPr>
              <w:pStyle w:val="Compact"/>
              <w:jc w:val="left"/>
            </w:pPr>
            <w:r>
              <w:t xml:space="preserve">4 (6%)</w:t>
            </w:r>
          </w:p>
        </w:tc>
        <w:tc>
          <w:tcPr/>
          <w:p>
            <w:pPr>
              <w:pStyle w:val="Compact"/>
              <w:jc w:val="left"/>
            </w:pPr>
            <w:r>
              <w:t xml:space="preserve">63 (22%)</w:t>
            </w:r>
          </w:p>
        </w:tc>
      </w:tr>
      <w:tr>
        <w:tc>
          <w:tcPr/>
          <w:p>
            <w:pPr>
              <w:pStyle w:val="Compact"/>
              <w:jc w:val="left"/>
            </w:pPr>
            <w:r>
              <w:t xml:space="preserve">Compromisso</w:t>
            </w:r>
          </w:p>
        </w:tc>
        <w:tc>
          <w:tcPr/>
          <w:p>
            <w:pPr>
              <w:pStyle w:val="Compact"/>
              <w:jc w:val="left"/>
            </w:pPr>
            <w:r>
              <w:t xml:space="preserve">0 (0%)</w:t>
            </w:r>
          </w:p>
        </w:tc>
        <w:tc>
          <w:tcPr/>
          <w:p>
            <w:pPr>
              <w:pStyle w:val="Compact"/>
              <w:jc w:val="left"/>
            </w:pPr>
            <w:r>
              <w:t xml:space="preserve">34 (74%)</w:t>
            </w:r>
          </w:p>
        </w:tc>
        <w:tc>
          <w:tcPr/>
          <w:p>
            <w:pPr>
              <w:pStyle w:val="Compact"/>
              <w:jc w:val="left"/>
            </w:pPr>
            <w:r>
              <w:t xml:space="preserve">1 (2%)</w:t>
            </w:r>
          </w:p>
        </w:tc>
        <w:tc>
          <w:tcPr/>
          <w:p>
            <w:pPr>
              <w:pStyle w:val="Compact"/>
              <w:jc w:val="left"/>
            </w:pPr>
            <w:r>
              <w:t xml:space="preserve">5 (11%)</w:t>
            </w:r>
          </w:p>
        </w:tc>
        <w:tc>
          <w:tcPr/>
          <w:p>
            <w:pPr>
              <w:pStyle w:val="Compact"/>
              <w:jc w:val="left"/>
            </w:pPr>
            <w:r>
              <w:t xml:space="preserve">6 (13%)</w:t>
            </w:r>
          </w:p>
        </w:tc>
        <w:tc>
          <w:tcPr/>
          <w:p>
            <w:pPr>
              <w:pStyle w:val="Compact"/>
              <w:jc w:val="left"/>
            </w:pPr>
            <w:r>
              <w:t xml:space="preserve">46 (16%)</w:t>
            </w:r>
          </w:p>
        </w:tc>
      </w:tr>
      <w:tr>
        <w:tc>
          <w:tcPr/>
          <w:p>
            <w:pPr>
              <w:pStyle w:val="Compact"/>
              <w:jc w:val="left"/>
            </w:pPr>
            <w:r>
              <w:t xml:space="preserve">Cumprimento</w:t>
            </w:r>
          </w:p>
        </w:tc>
        <w:tc>
          <w:tcPr/>
          <w:p>
            <w:pPr>
              <w:pStyle w:val="Compact"/>
              <w:jc w:val="left"/>
            </w:pPr>
            <w:r>
              <w:t xml:space="preserve">30 (40%)</w:t>
            </w:r>
          </w:p>
        </w:tc>
        <w:tc>
          <w:tcPr/>
          <w:p>
            <w:pPr>
              <w:pStyle w:val="Compact"/>
              <w:jc w:val="left"/>
            </w:pPr>
            <w:r>
              <w:t xml:space="preserve">44 (59%)</w:t>
            </w:r>
          </w:p>
        </w:tc>
        <w:tc>
          <w:tcPr/>
          <w:p>
            <w:pPr>
              <w:pStyle w:val="Compact"/>
              <w:jc w:val="left"/>
            </w:pPr>
            <w:r>
              <w:t xml:space="preserve">0 (0%)</w:t>
            </w:r>
          </w:p>
        </w:tc>
        <w:tc>
          <w:tcPr/>
          <w:p>
            <w:pPr>
              <w:pStyle w:val="Compact"/>
              <w:jc w:val="left"/>
            </w:pPr>
            <w:r>
              <w:t xml:space="preserve">1 (1%)</w:t>
            </w:r>
          </w:p>
        </w:tc>
        <w:tc>
          <w:tcPr/>
          <w:p>
            <w:pPr>
              <w:pStyle w:val="Compact"/>
              <w:jc w:val="left"/>
            </w:pPr>
            <w:r>
              <w:t xml:space="preserve">0 (0%)</w:t>
            </w:r>
          </w:p>
        </w:tc>
        <w:tc>
          <w:tcPr/>
          <w:p>
            <w:pPr>
              <w:pStyle w:val="Compact"/>
              <w:jc w:val="left"/>
            </w:pPr>
            <w:r>
              <w:t xml:space="preserve">75 (26%)</w:t>
            </w:r>
          </w:p>
        </w:tc>
      </w:tr>
      <w:tr>
        <w:tc>
          <w:tcPr/>
          <w:p>
            <w:pPr>
              <w:pStyle w:val="Compact"/>
              <w:jc w:val="left"/>
            </w:pPr>
            <w:r>
              <w:t xml:space="preserve">Instauracao</w:t>
            </w:r>
          </w:p>
        </w:tc>
        <w:tc>
          <w:tcPr/>
          <w:p>
            <w:pPr>
              <w:pStyle w:val="Compact"/>
              <w:jc w:val="left"/>
            </w:pPr>
            <w:r>
              <w:t xml:space="preserve">2 (20%)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8 (80%)</w:t>
            </w:r>
          </w:p>
        </w:tc>
        <w:tc>
          <w:tcPr/>
          <w:p>
            <w:pPr>
              <w:pStyle w:val="Compact"/>
              <w:jc w:val="left"/>
            </w:pPr>
            <w:r>
              <w:t xml:space="preserve">10 (3%)</w:t>
            </w:r>
          </w:p>
        </w:tc>
      </w:tr>
      <w:tr>
        <w:tc>
          <w:tcPr/>
          <w:p>
            <w:pPr>
              <w:pStyle w:val="Compact"/>
              <w:jc w:val="left"/>
            </w:pPr>
            <w:r>
              <w:t xml:space="preserve">Total</w:t>
            </w:r>
          </w:p>
        </w:tc>
        <w:tc>
          <w:tcPr/>
          <w:p>
            <w:pPr>
              <w:pStyle w:val="Compact"/>
              <w:jc w:val="left"/>
            </w:pPr>
            <w:r>
              <w:t xml:space="preserve">43 (15%)</w:t>
            </w:r>
          </w:p>
        </w:tc>
        <w:tc>
          <w:tcPr/>
          <w:p>
            <w:pPr>
              <w:pStyle w:val="Compact"/>
              <w:jc w:val="left"/>
            </w:pPr>
            <w:r>
              <w:t xml:space="preserve">124 (43%)</w:t>
            </w:r>
          </w:p>
        </w:tc>
        <w:tc>
          <w:tcPr/>
          <w:p>
            <w:pPr>
              <w:pStyle w:val="Compact"/>
              <w:jc w:val="left"/>
            </w:pPr>
            <w:r>
              <w:t xml:space="preserve">57 (20%)</w:t>
            </w:r>
          </w:p>
        </w:tc>
        <w:tc>
          <w:tcPr/>
          <w:p>
            <w:pPr>
              <w:pStyle w:val="Compact"/>
              <w:jc w:val="left"/>
            </w:pPr>
            <w:r>
              <w:t xml:space="preserve">22 (8%)</w:t>
            </w:r>
          </w:p>
        </w:tc>
        <w:tc>
          <w:tcPr/>
          <w:p>
            <w:pPr>
              <w:pStyle w:val="Compact"/>
              <w:jc w:val="left"/>
            </w:pPr>
            <w:r>
              <w:t xml:space="preserve">43 (15%)</w:t>
            </w:r>
          </w:p>
        </w:tc>
        <w:tc>
          <w:tcPr/>
          <w:p>
            <w:pPr>
              <w:pStyle w:val="Compact"/>
              <w:jc w:val="left"/>
            </w:pPr>
            <w:r>
              <w:t xml:space="preserve">289 (100%)</w:t>
            </w:r>
          </w:p>
        </w:tc>
      </w:tr>
    </w:tbl>
    <w:bookmarkEnd w:id="47"/>
    <w:p>
      <w:pPr>
        <w:pStyle w:val="Corpodetexto"/>
      </w:pPr>
      <w:r>
        <w:t xml:space="preserve">A</w:t>
      </w:r>
      <w:r>
        <w:t xml:space="preserve"> </w:t>
      </w:r>
      <w:hyperlink w:anchor="fig-resultado-vara">
        <w:r>
          <w:rPr>
            <w:rStyle w:val="Hyperlink"/>
          </w:rPr>
          <w:t xml:space="preserve">Figura 3</w:t>
        </w:r>
      </w:hyperlink>
      <w:r>
        <w:t xml:space="preserve"> </w:t>
      </w:r>
      <w:r>
        <w:t xml:space="preserve">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nas ações anulatórias.</w:t>
      </w:r>
    </w:p>
    <w:tbl>
      <w:tblPr>
        <w:tblStyle w:val="Table"/>
        <w:tblW w:type="pct" w:w="5000"/>
        <w:tblLook w:firstRow="0" w:lastRow="0" w:firstColumn="0" w:lastColumn="0" w:noHBand="0" w:noVBand="0" w:val="0000"/>
      </w:tblPr>
      <w:tblGrid>
        <w:gridCol w:w="7920"/>
      </w:tblGrid>
      <w:tr>
        <w:tc>
          <w:tcPr/>
          <w:bookmarkStart w:id="51" w:name="fig-resultado-vara"/>
          <w:p>
            <w:pPr>
              <w:pStyle w:val="Figure"/>
              <w:jc w:val="center"/>
            </w:pPr>
            <w:r>
              <w:drawing>
                <wp:inline>
                  <wp:extent cx="5943600" cy="2971800"/>
                  <wp:effectExtent b="0" l="0" r="0" t="0"/>
                  <wp:docPr descr="" title="" id="49" name="Picture"/>
                  <a:graphic>
                    <a:graphicData uri="http://schemas.openxmlformats.org/drawingml/2006/picture">
                      <pic:pic>
                        <pic:nvPicPr>
                          <pic:cNvPr descr="relatorio_files/figure-docx/fig-resultado-vara-1.png" id="50"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Proporção dos resultados dos processos por categoria e vara</w:t>
            </w:r>
          </w:p>
          <w:bookmarkEnd w:id="51"/>
        </w:tc>
      </w:tr>
    </w:tbl>
    <w:p>
      <w:pPr>
        <w:pStyle w:val="Corpodetexto"/>
      </w:pPr>
      <w:r>
        <w:t xml:space="preserve">Finalmente, a</w:t>
      </w:r>
      <w:r>
        <w:t xml:space="preserve"> </w:t>
      </w:r>
      <w:hyperlink w:anchor="tbl-tempo">
        <w:r>
          <w:rPr>
            <w:rStyle w:val="Hyperlink"/>
          </w:rPr>
          <w:t xml:space="preserve">Tabela 13</w:t>
        </w:r>
      </w:hyperlink>
      <w:r>
        <w:t xml:space="preserve"> </w:t>
      </w:r>
      <w:r>
        <w:t xml:space="preserve">mostra os tempos médios e medianos, geral e por categoria. Os processos mais longos são os de compromisso arbitral, com mediana de quase um ano. Já os processos mais curtos são os de anulação, com mediana de aproximadamente seis meses.</w:t>
      </w:r>
    </w:p>
    <w:bookmarkStart w:id="52" w:name="tbl-tempo"/>
    <w:p>
      <w:pPr>
        <w:pStyle w:val="TableCaption"/>
      </w:pPr>
      <w:r>
        <w:t xml:space="preserve">Tabela 13: Estatísticas descritivas dos tempos dos processos</w:t>
      </w:r>
    </w:p>
    <w:tbl>
      <w:tblPr>
        <w:tblStyle w:val="Table"/>
        <w:tblW w:type="auto" w:w="0"/>
        <w:tblLook w:firstRow="1" w:lastRow="0" w:firstColumn="0" w:lastColumn="0" w:noHBand="0" w:noVBand="0" w:val="0020"/>
        <w:tblCaption w:val="Tabela 13: Estatísticas descritivas dos tempos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Compromisso</w:t>
            </w:r>
          </w:p>
        </w:tc>
        <w:tc>
          <w:tcPr/>
          <w:p>
            <w:pPr>
              <w:pStyle w:val="Compact"/>
              <w:jc w:val="right"/>
            </w:pPr>
            <w:r>
              <w:t xml:space="preserve">46</w:t>
            </w:r>
          </w:p>
        </w:tc>
        <w:tc>
          <w:tcPr/>
          <w:p>
            <w:pPr>
              <w:pStyle w:val="Compact"/>
              <w:jc w:val="right"/>
            </w:pPr>
            <w:r>
              <w:t xml:space="preserve">353.6</w:t>
            </w:r>
          </w:p>
        </w:tc>
        <w:tc>
          <w:tcPr/>
          <w:p>
            <w:pPr>
              <w:pStyle w:val="Compact"/>
              <w:jc w:val="right"/>
            </w:pPr>
            <w:r>
              <w:t xml:space="preserve">328.5</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232.7</w:t>
            </w:r>
          </w:p>
        </w:tc>
        <w:tc>
          <w:tcPr/>
          <w:p>
            <w:pPr>
              <w:pStyle w:val="Compact"/>
              <w:jc w:val="right"/>
            </w:pPr>
            <w:r>
              <w:t xml:space="preserve">194.0</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274.6</w:t>
            </w:r>
          </w:p>
        </w:tc>
        <w:tc>
          <w:tcPr/>
          <w:p>
            <w:pPr>
              <w:pStyle w:val="Compact"/>
              <w:jc w:val="right"/>
            </w:pPr>
            <w:r>
              <w:t xml:space="preserve">188.0</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292.8</w:t>
            </w:r>
          </w:p>
        </w:tc>
        <w:tc>
          <w:tcPr/>
          <w:p>
            <w:pPr>
              <w:pStyle w:val="Compact"/>
              <w:jc w:val="right"/>
            </w:pPr>
            <w:r>
              <w:t xml:space="preserve">227.0</w:t>
            </w:r>
          </w:p>
        </w:tc>
      </w:tr>
    </w:tbl>
    <w:bookmarkEnd w:id="52"/>
    <w:bookmarkStart w:id="64" w:name="questões-adicionais"/>
    <w:p>
      <w:pPr>
        <w:pStyle w:val="Ttulo3"/>
      </w:pPr>
      <w:r>
        <w:t xml:space="preserve">Questões adicionais</w:t>
      </w:r>
    </w:p>
    <w:p>
      <w:pPr>
        <w:pStyle w:val="FirstParagraph"/>
      </w:pPr>
      <w:r>
        <w:t xml:space="preserve">Após a revisão das análises, um novo conjunto de perguntas foi gerado. As perguntas foram respondidas com os gráficos e tabelas que seguem.</w:t>
      </w:r>
    </w:p>
    <w:bookmarkStart w:id="54" w:name="X8da85c2549eeab99b34900ea56bce10570b78f4"/>
    <w:p>
      <w:pPr>
        <w:pStyle w:val="Ttulo4"/>
      </w:pPr>
      <w:r>
        <w:t xml:space="preserve">Qual a proporção de resultado para a categoria anulação envolvendo ou não a Unimed?</w:t>
      </w:r>
    </w:p>
    <w:p>
      <w:pPr>
        <w:pStyle w:val="FirstParagraph"/>
      </w:pPr>
      <w:r>
        <w:t xml:space="preserve">A</w:t>
      </w:r>
      <w:r>
        <w:t xml:space="preserve"> </w:t>
      </w:r>
      <w:hyperlink w:anchor="tbl-resultado-unimed">
        <w:r>
          <w:rPr>
            <w:rStyle w:val="Hyperlink"/>
          </w:rPr>
          <w:t xml:space="preserve">Tabela 14</w:t>
        </w:r>
      </w:hyperlink>
      <w:r>
        <w:t xml:space="preserve"> </w:t>
      </w:r>
      <w:r>
        <w:t xml:space="preserve">mostra as proporções de resultados em processos de anulação considerando ou não a Unimed como parte. A taxa de casos favoráveis (soma de acordos, procedentes e parcialmente procedentes) é significativamente maior em casos envolvendo a Unimed. Para os demais casos, a taxa de casos favoráveis é de apenas 22%.</w:t>
      </w:r>
    </w:p>
    <w:bookmarkStart w:id="53" w:name="tbl-resultado-unimed"/>
    <w:p>
      <w:pPr>
        <w:pStyle w:val="TableCaption"/>
      </w:pPr>
      <w:r>
        <w:t xml:space="preserve">Tabela 14: Resultados dos processos de anulação pela existência ou não da Unimed como parte</w:t>
      </w:r>
    </w:p>
    <w:tbl>
      <w:tblPr>
        <w:tblStyle w:val="Table"/>
        <w:tblW w:type="pct" w:w="5000"/>
        <w:tblLook w:firstRow="1" w:lastRow="0" w:firstColumn="0" w:lastColumn="0" w:noHBand="0" w:noVBand="0" w:val="0020"/>
        <w:tblCaption w:val="Tabela 14: Resultados dos processos de anulação pela existência ou não da Unimed como parte"/>
      </w:tblPr>
      <w:tblGrid>
        <w:gridCol w:w="852"/>
        <w:gridCol w:w="852"/>
        <w:gridCol w:w="974"/>
        <w:gridCol w:w="1584"/>
        <w:gridCol w:w="1096"/>
        <w:gridCol w:w="1340"/>
        <w:gridCol w:w="1218"/>
      </w:tblGrid>
      <w:tr>
        <w:trPr>
          <w:tblHeader w:val="true"/>
        </w:trPr>
        <w:tc>
          <w:tcPr/>
          <w:p>
            <w:pPr>
              <w:pStyle w:val="Compact"/>
              <w:jc w:val="left"/>
            </w:pPr>
            <w:r>
              <w:t xml:space="preserve">Unimed</w:t>
            </w:r>
          </w:p>
        </w:tc>
        <w:tc>
          <w:tcPr/>
          <w:p>
            <w:pPr>
              <w:pStyle w:val="Compact"/>
              <w:jc w:val="left"/>
            </w:pPr>
            <w:r>
              <w:t xml:space="preserve">Acordo</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Não</w:t>
            </w:r>
          </w:p>
        </w:tc>
        <w:tc>
          <w:tcPr/>
          <w:p>
            <w:pPr>
              <w:pStyle w:val="Compact"/>
              <w:jc w:val="left"/>
            </w:pPr>
            <w:r>
              <w:t xml:space="preserve">2 (5%)</w:t>
            </w:r>
          </w:p>
        </w:tc>
        <w:tc>
          <w:tcPr/>
          <w:p>
            <w:pPr>
              <w:pStyle w:val="Compact"/>
              <w:jc w:val="left"/>
            </w:pPr>
            <w:r>
              <w:t xml:space="preserve">6 (16%)</w:t>
            </w:r>
          </w:p>
        </w:tc>
        <w:tc>
          <w:tcPr/>
          <w:p>
            <w:pPr>
              <w:pStyle w:val="Compact"/>
              <w:jc w:val="left"/>
            </w:pPr>
            <w:r>
              <w:t xml:space="preserve">23 (62%)</w:t>
            </w:r>
          </w:p>
        </w:tc>
        <w:tc>
          <w:tcPr/>
          <w:p>
            <w:pPr>
              <w:pStyle w:val="Compact"/>
              <w:jc w:val="left"/>
            </w:pPr>
            <w:r>
              <w:t xml:space="preserve">2 (5%)</w:t>
            </w:r>
          </w:p>
        </w:tc>
        <w:tc>
          <w:tcPr/>
          <w:p>
            <w:pPr>
              <w:pStyle w:val="Compact"/>
              <w:jc w:val="left"/>
            </w:pPr>
            <w:r>
              <w:t xml:space="preserve">4 (11%)</w:t>
            </w:r>
          </w:p>
        </w:tc>
        <w:tc>
          <w:tcPr/>
          <w:p>
            <w:pPr>
              <w:pStyle w:val="Compact"/>
              <w:jc w:val="left"/>
            </w:pPr>
            <w:r>
              <w:t xml:space="preserve">37 (39%)</w:t>
            </w:r>
          </w:p>
        </w:tc>
      </w:tr>
      <w:tr>
        <w:tc>
          <w:tcPr/>
          <w:p>
            <w:pPr>
              <w:pStyle w:val="Compact"/>
              <w:jc w:val="left"/>
            </w:pPr>
            <w:r>
              <w:t xml:space="preserve">Sim</w:t>
            </w:r>
          </w:p>
        </w:tc>
        <w:tc>
          <w:tcPr/>
          <w:p>
            <w:pPr>
              <w:pStyle w:val="Compact"/>
              <w:jc w:val="left"/>
            </w:pPr>
            <w:r>
              <w:t xml:space="preserve">0 (0%)</w:t>
            </w:r>
          </w:p>
        </w:tc>
        <w:tc>
          <w:tcPr/>
          <w:p>
            <w:pPr>
              <w:pStyle w:val="Compact"/>
              <w:jc w:val="left"/>
            </w:pPr>
            <w:r>
              <w:t xml:space="preserve">0 (0%)</w:t>
            </w:r>
          </w:p>
        </w:tc>
        <w:tc>
          <w:tcPr/>
          <w:p>
            <w:pPr>
              <w:pStyle w:val="Compact"/>
              <w:jc w:val="left"/>
            </w:pPr>
            <w:r>
              <w:t xml:space="preserve">23 (40%)</w:t>
            </w:r>
          </w:p>
        </w:tc>
        <w:tc>
          <w:tcPr/>
          <w:p>
            <w:pPr>
              <w:pStyle w:val="Compact"/>
              <w:jc w:val="left"/>
            </w:pPr>
            <w:r>
              <w:t xml:space="preserve">14 (24%)</w:t>
            </w:r>
          </w:p>
        </w:tc>
        <w:tc>
          <w:tcPr/>
          <w:p>
            <w:pPr>
              <w:pStyle w:val="Compact"/>
              <w:jc w:val="left"/>
            </w:pPr>
            <w:r>
              <w:t xml:space="preserve">21 (36%)</w:t>
            </w:r>
          </w:p>
        </w:tc>
        <w:tc>
          <w:tcPr/>
          <w:p>
            <w:pPr>
              <w:pStyle w:val="Compact"/>
              <w:jc w:val="left"/>
            </w:pPr>
            <w:r>
              <w:t xml:space="preserve">58 (61%)</w:t>
            </w:r>
          </w:p>
        </w:tc>
      </w:tr>
      <w:tr>
        <w:tc>
          <w:tcPr/>
          <w:p>
            <w:pPr>
              <w:pStyle w:val="Compact"/>
              <w:jc w:val="left"/>
            </w:pPr>
            <w:r>
              <w:t xml:space="preserve">Total</w:t>
            </w:r>
          </w:p>
        </w:tc>
        <w:tc>
          <w:tcPr/>
          <w:p>
            <w:pPr>
              <w:pStyle w:val="Compact"/>
              <w:jc w:val="left"/>
            </w:pPr>
            <w:r>
              <w:t xml:space="preserve">2 (2%)</w:t>
            </w:r>
          </w:p>
        </w:tc>
        <w:tc>
          <w:tcPr/>
          <w:p>
            <w:pPr>
              <w:pStyle w:val="Compact"/>
              <w:jc w:val="left"/>
            </w:pPr>
            <w:r>
              <w:t xml:space="preserve">6 (6%)</w:t>
            </w:r>
          </w:p>
        </w:tc>
        <w:tc>
          <w:tcPr/>
          <w:p>
            <w:pPr>
              <w:pStyle w:val="Compact"/>
              <w:jc w:val="left"/>
            </w:pPr>
            <w:r>
              <w:t xml:space="preserve">46 (48%)</w:t>
            </w:r>
          </w:p>
        </w:tc>
        <w:tc>
          <w:tcPr/>
          <w:p>
            <w:pPr>
              <w:pStyle w:val="Compact"/>
              <w:jc w:val="left"/>
            </w:pPr>
            <w:r>
              <w:t xml:space="preserve">16 (17%)</w:t>
            </w:r>
          </w:p>
        </w:tc>
        <w:tc>
          <w:tcPr/>
          <w:p>
            <w:pPr>
              <w:pStyle w:val="Compact"/>
              <w:jc w:val="left"/>
            </w:pPr>
            <w:r>
              <w:t xml:space="preserve">25 (26%)</w:t>
            </w:r>
          </w:p>
        </w:tc>
        <w:tc>
          <w:tcPr/>
          <w:p>
            <w:pPr>
              <w:pStyle w:val="Compact"/>
              <w:jc w:val="left"/>
            </w:pPr>
            <w:r>
              <w:t xml:space="preserve">95 (100%)</w:t>
            </w:r>
          </w:p>
        </w:tc>
      </w:tr>
    </w:tbl>
    <w:bookmarkEnd w:id="53"/>
    <w:bookmarkEnd w:id="54"/>
    <w:bookmarkStart w:id="56" w:name="X92fcf6fc05e51d960c4c267d1e3e4d3dbdb5043"/>
    <w:p>
      <w:pPr>
        <w:pStyle w:val="Ttulo4"/>
      </w:pPr>
      <w:r>
        <w:t xml:space="preserve">Qual o percentual de liminares deferidas na categoria de ação cautelar?</w:t>
      </w:r>
    </w:p>
    <w:p>
      <w:pPr>
        <w:pStyle w:val="FirstParagraph"/>
      </w:pPr>
      <w:r>
        <w:t xml:space="preserve">A base contem 63 ações cautelares, pouco mais de um quinto da base completa. A</w:t>
      </w:r>
      <w:r>
        <w:t xml:space="preserve"> </w:t>
      </w:r>
      <w:hyperlink w:anchor="tbl-cautelar-liminar">
        <w:r>
          <w:rPr>
            <w:rStyle w:val="Hyperlink"/>
          </w:rPr>
          <w:t xml:space="preserve">Tabela 15</w:t>
        </w:r>
      </w:hyperlink>
      <w:r>
        <w:t xml:space="preserve"> </w:t>
      </w:r>
      <w:r>
        <w:t xml:space="preserve">mostra os resultados das liminares nessas ações. É possível identificar que quase metade das liminares não são concedias. Importante destacar que, em 6 casos, a decisão liminar não foi encontrada.</w:t>
      </w:r>
    </w:p>
    <w:bookmarkStart w:id="55" w:name="tbl-cautelar-liminar"/>
    <w:p>
      <w:pPr>
        <w:pStyle w:val="TableCaption"/>
      </w:pPr>
      <w:r>
        <w:t xml:space="preserve">Tabela 15: Resultados das liminares em ações cautelares.</w:t>
      </w:r>
    </w:p>
    <w:tbl>
      <w:tblPr>
        <w:tblStyle w:val="Table"/>
        <w:tblW w:type="auto" w:w="0"/>
        <w:tblLook w:firstRow="1" w:lastRow="0" w:firstColumn="0" w:lastColumn="0" w:noHBand="0" w:noVBand="0" w:val="0020"/>
        <w:tblCaption w:val="Tabela 15: Resultados das liminares em ações cautelares."/>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Não</w:t>
            </w:r>
          </w:p>
        </w:tc>
        <w:tc>
          <w:tcPr/>
          <w:p>
            <w:pPr>
              <w:pStyle w:val="Compact"/>
              <w:jc w:val="right"/>
            </w:pPr>
            <w:r>
              <w:t xml:space="preserve">30</w:t>
            </w:r>
          </w:p>
        </w:tc>
        <w:tc>
          <w:tcPr/>
          <w:p>
            <w:pPr>
              <w:pStyle w:val="Compact"/>
              <w:jc w:val="right"/>
            </w:pPr>
            <w:r>
              <w:t xml:space="preserve">47.6%</w:t>
            </w:r>
          </w:p>
        </w:tc>
      </w:tr>
      <w:tr>
        <w:tc>
          <w:tcPr/>
          <w:p>
            <w:pPr>
              <w:pStyle w:val="Compact"/>
              <w:jc w:val="left"/>
            </w:pPr>
            <w:r>
              <w:t xml:space="preserve">Sim</w:t>
            </w:r>
          </w:p>
        </w:tc>
        <w:tc>
          <w:tcPr/>
          <w:p>
            <w:pPr>
              <w:pStyle w:val="Compact"/>
              <w:jc w:val="right"/>
            </w:pPr>
            <w:r>
              <w:t xml:space="preserve">20</w:t>
            </w:r>
          </w:p>
        </w:tc>
        <w:tc>
          <w:tcPr/>
          <w:p>
            <w:pPr>
              <w:pStyle w:val="Compact"/>
              <w:jc w:val="right"/>
            </w:pPr>
            <w:r>
              <w:t xml:space="preserve">31.7%</w:t>
            </w:r>
          </w:p>
        </w:tc>
      </w:tr>
      <w:tr>
        <w:tc>
          <w:tcPr/>
          <w:p>
            <w:pPr>
              <w:pStyle w:val="Compact"/>
              <w:jc w:val="left"/>
            </w:pPr>
            <w:r>
              <w:t xml:space="preserve">Parcial</w:t>
            </w:r>
          </w:p>
        </w:tc>
        <w:tc>
          <w:tcPr/>
          <w:p>
            <w:pPr>
              <w:pStyle w:val="Compact"/>
              <w:jc w:val="right"/>
            </w:pPr>
            <w:r>
              <w:t xml:space="preserve">7</w:t>
            </w:r>
          </w:p>
        </w:tc>
        <w:tc>
          <w:tcPr/>
          <w:p>
            <w:pPr>
              <w:pStyle w:val="Compact"/>
              <w:jc w:val="right"/>
            </w:pPr>
            <w:r>
              <w:t xml:space="preserve">11.1%</w:t>
            </w:r>
          </w:p>
        </w:tc>
      </w:tr>
      <w:tr>
        <w:tc>
          <w:tcPr/>
          <w:p>
            <w:pPr>
              <w:pStyle w:val="Compact"/>
              <w:jc w:val="left"/>
            </w:pPr>
            <w:r>
              <w:t xml:space="preserve">(Vazio)</w:t>
            </w:r>
          </w:p>
        </w:tc>
        <w:tc>
          <w:tcPr/>
          <w:p>
            <w:pPr>
              <w:pStyle w:val="Compact"/>
              <w:jc w:val="right"/>
            </w:pPr>
            <w:r>
              <w:t xml:space="preserve">6</w:t>
            </w:r>
          </w:p>
        </w:tc>
        <w:tc>
          <w:tcPr/>
          <w:p>
            <w:pPr>
              <w:pStyle w:val="Compact"/>
              <w:jc w:val="right"/>
            </w:pPr>
            <w:r>
              <w:t xml:space="preserve">9.5%</w:t>
            </w:r>
          </w:p>
        </w:tc>
      </w:tr>
      <w:tr>
        <w:tc>
          <w:tcPr/>
          <w:p>
            <w:pPr>
              <w:pStyle w:val="Compact"/>
              <w:jc w:val="left"/>
            </w:pPr>
            <w:r>
              <w:t xml:space="preserve">Total</w:t>
            </w:r>
          </w:p>
        </w:tc>
        <w:tc>
          <w:tcPr/>
          <w:p>
            <w:pPr>
              <w:pStyle w:val="Compact"/>
              <w:jc w:val="right"/>
            </w:pPr>
            <w:r>
              <w:t xml:space="preserve">63</w:t>
            </w:r>
          </w:p>
        </w:tc>
        <w:tc>
          <w:tcPr/>
          <w:p>
            <w:pPr>
              <w:pStyle w:val="Compact"/>
              <w:jc w:val="right"/>
            </w:pPr>
            <w:r>
              <w:t xml:space="preserve">100.0%</w:t>
            </w:r>
          </w:p>
        </w:tc>
      </w:tr>
    </w:tbl>
    <w:bookmarkEnd w:id="55"/>
    <w:bookmarkEnd w:id="56"/>
    <w:bookmarkStart w:id="58" w:name="X8ff66541b44a794cc6700bee440b07007d9a1e7"/>
    <w:p>
      <w:pPr>
        <w:pStyle w:val="Ttulo4"/>
      </w:pPr>
      <w:r>
        <w:t xml:space="preserve">Qual a média e mediana de valor para cada categoria de ação?</w:t>
      </w:r>
    </w:p>
    <w:p>
      <w:pPr>
        <w:pStyle w:val="FirstParagraph"/>
      </w:pPr>
      <w:r>
        <w:t xml:space="preserve">Finalmente, a</w:t>
      </w:r>
      <w:r>
        <w:t xml:space="preserve"> </w:t>
      </w:r>
      <w:hyperlink w:anchor="tbl-valor-tipo">
        <w:r>
          <w:rPr>
            <w:rStyle w:val="Hyperlink"/>
          </w:rPr>
          <w:t xml:space="preserve">Tabela 16</w:t>
        </w:r>
      </w:hyperlink>
      <w:r>
        <w:t xml:space="preserve"> </w:t>
      </w:r>
      <w:r>
        <w:t xml:space="preserve">mostra os valores médios e medianos das causas, geral e por categoria. Os processos de maior valor são as anulatórias, com mediana de R$ 264.802,79. Já os processos de menor valor são as cautelares e instauração, com mediana de dez mil reais, provavelmente colocados apenas como valores de referência.</w:t>
      </w:r>
    </w:p>
    <w:bookmarkStart w:id="57" w:name="tbl-valor-tipo"/>
    <w:p>
      <w:pPr>
        <w:pStyle w:val="TableCaption"/>
      </w:pPr>
      <w:r>
        <w:t xml:space="preserve">Tabela 16: Estatísticas descritivas dos valores de causa dos processos</w:t>
      </w:r>
    </w:p>
    <w:tbl>
      <w:tblPr>
        <w:tblStyle w:val="Table"/>
        <w:tblW w:type="auto" w:w="0"/>
        <w:tblLook w:firstRow="1" w:lastRow="0" w:firstColumn="0" w:lastColumn="0" w:noHBand="0" w:noVBand="0" w:val="0020"/>
        <w:tblCaption w:val="Tabela 16: Estatísticas descritivas dos valores de causa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left"/>
            </w:pPr>
            <w:r>
              <w:t xml:space="preserve">Média</w:t>
            </w:r>
          </w:p>
        </w:tc>
        <w:tc>
          <w:tcPr/>
          <w:p>
            <w:pPr>
              <w:pStyle w:val="Compact"/>
              <w:jc w:val="left"/>
            </w:pPr>
            <w:r>
              <w:t xml:space="preserve">Mediana</w:t>
            </w:r>
          </w:p>
        </w:tc>
      </w:tr>
      <w:tr>
        <w:tc>
          <w:tcPr/>
          <w:p>
            <w:pPr>
              <w:pStyle w:val="Compact"/>
              <w:jc w:val="left"/>
            </w:pPr>
            <w:r>
              <w:t xml:space="preserve">Anulacao</w:t>
            </w:r>
          </w:p>
        </w:tc>
        <w:tc>
          <w:tcPr/>
          <w:p>
            <w:pPr>
              <w:pStyle w:val="Compact"/>
              <w:jc w:val="right"/>
            </w:pPr>
            <w:r>
              <w:t xml:space="preserve">95</w:t>
            </w:r>
          </w:p>
        </w:tc>
        <w:tc>
          <w:tcPr/>
          <w:p>
            <w:pPr>
              <w:pStyle w:val="Compact"/>
              <w:jc w:val="left"/>
            </w:pPr>
            <w:r>
              <w:t xml:space="preserve">R$ 3.601.345,63</w:t>
            </w:r>
          </w:p>
        </w:tc>
        <w:tc>
          <w:tcPr/>
          <w:p>
            <w:pPr>
              <w:pStyle w:val="Compact"/>
              <w:jc w:val="left"/>
            </w:pPr>
            <w:r>
              <w:t xml:space="preserve">R$ 264.802,79</w:t>
            </w:r>
          </w:p>
        </w:tc>
      </w:tr>
      <w:tr>
        <w:tc>
          <w:tcPr/>
          <w:p>
            <w:pPr>
              <w:pStyle w:val="Compact"/>
              <w:jc w:val="left"/>
            </w:pPr>
            <w:r>
              <w:t xml:space="preserve">Compromisso</w:t>
            </w:r>
          </w:p>
        </w:tc>
        <w:tc>
          <w:tcPr/>
          <w:p>
            <w:pPr>
              <w:pStyle w:val="Compact"/>
              <w:jc w:val="right"/>
            </w:pPr>
            <w:r>
              <w:t xml:space="preserve">46</w:t>
            </w:r>
          </w:p>
        </w:tc>
        <w:tc>
          <w:tcPr/>
          <w:p>
            <w:pPr>
              <w:pStyle w:val="Compact"/>
              <w:jc w:val="left"/>
            </w:pPr>
            <w:r>
              <w:t xml:space="preserve">R$ 10.081.664,83</w:t>
            </w:r>
          </w:p>
        </w:tc>
        <w:tc>
          <w:tcPr/>
          <w:p>
            <w:pPr>
              <w:pStyle w:val="Compact"/>
              <w:jc w:val="left"/>
            </w:pPr>
            <w:r>
              <w:t xml:space="preserve">R$ 83.815,77</w:t>
            </w:r>
          </w:p>
        </w:tc>
      </w:tr>
      <w:tr>
        <w:tc>
          <w:tcPr/>
          <w:p>
            <w:pPr>
              <w:pStyle w:val="Compact"/>
              <w:jc w:val="left"/>
            </w:pPr>
            <w:r>
              <w:t xml:space="preserve">Cumprimento</w:t>
            </w:r>
          </w:p>
        </w:tc>
        <w:tc>
          <w:tcPr/>
          <w:p>
            <w:pPr>
              <w:pStyle w:val="Compact"/>
              <w:jc w:val="right"/>
            </w:pPr>
            <w:r>
              <w:t xml:space="preserve">75</w:t>
            </w:r>
          </w:p>
        </w:tc>
        <w:tc>
          <w:tcPr/>
          <w:p>
            <w:pPr>
              <w:pStyle w:val="Compact"/>
              <w:jc w:val="left"/>
            </w:pPr>
            <w:r>
              <w:t xml:space="preserve">R$ 1.394.104,16</w:t>
            </w:r>
          </w:p>
        </w:tc>
        <w:tc>
          <w:tcPr/>
          <w:p>
            <w:pPr>
              <w:pStyle w:val="Compact"/>
              <w:jc w:val="left"/>
            </w:pPr>
            <w:r>
              <w:t xml:space="preserve">R$ 23.468,15</w:t>
            </w:r>
          </w:p>
        </w:tc>
      </w:tr>
      <w:tr>
        <w:tc>
          <w:tcPr/>
          <w:p>
            <w:pPr>
              <w:pStyle w:val="Compact"/>
              <w:jc w:val="left"/>
            </w:pPr>
            <w:r>
              <w:t xml:space="preserve">Cautelar</w:t>
            </w:r>
          </w:p>
        </w:tc>
        <w:tc>
          <w:tcPr/>
          <w:p>
            <w:pPr>
              <w:pStyle w:val="Compact"/>
              <w:jc w:val="right"/>
            </w:pPr>
            <w:r>
              <w:t xml:space="preserve">63</w:t>
            </w:r>
          </w:p>
        </w:tc>
        <w:tc>
          <w:tcPr/>
          <w:p>
            <w:pPr>
              <w:pStyle w:val="Compact"/>
              <w:jc w:val="left"/>
            </w:pPr>
            <w:r>
              <w:t xml:space="preserve">R$ 3.326.566,44</w:t>
            </w:r>
          </w:p>
        </w:tc>
        <w:tc>
          <w:tcPr/>
          <w:p>
            <w:pPr>
              <w:pStyle w:val="Compact"/>
              <w:jc w:val="left"/>
            </w:pPr>
            <w:r>
              <w:t xml:space="preserve">R$ 10.000,00</w:t>
            </w:r>
          </w:p>
        </w:tc>
      </w:tr>
      <w:tr>
        <w:tc>
          <w:tcPr/>
          <w:p>
            <w:pPr>
              <w:pStyle w:val="Compact"/>
              <w:jc w:val="left"/>
            </w:pPr>
            <w:r>
              <w:t xml:space="preserve">Instauracao</w:t>
            </w:r>
          </w:p>
        </w:tc>
        <w:tc>
          <w:tcPr/>
          <w:p>
            <w:pPr>
              <w:pStyle w:val="Compact"/>
              <w:jc w:val="right"/>
            </w:pPr>
            <w:r>
              <w:t xml:space="preserve">10</w:t>
            </w:r>
          </w:p>
        </w:tc>
        <w:tc>
          <w:tcPr/>
          <w:p>
            <w:pPr>
              <w:pStyle w:val="Compact"/>
              <w:jc w:val="left"/>
            </w:pPr>
            <w:r>
              <w:t xml:space="preserve">R$ 25.058,13</w:t>
            </w:r>
          </w:p>
        </w:tc>
        <w:tc>
          <w:tcPr/>
          <w:p>
            <w:pPr>
              <w:pStyle w:val="Compact"/>
              <w:jc w:val="left"/>
            </w:pPr>
            <w:r>
              <w:t xml:space="preserve">R$ 10.000,00</w:t>
            </w:r>
          </w:p>
        </w:tc>
      </w:tr>
      <w:tr>
        <w:tc>
          <w:tcPr/>
          <w:p>
            <w:pPr>
              <w:pStyle w:val="Compact"/>
              <w:jc w:val="left"/>
            </w:pPr>
            <w:r>
              <w:t xml:space="preserve">Total</w:t>
            </w:r>
          </w:p>
        </w:tc>
        <w:tc>
          <w:tcPr/>
          <w:p>
            <w:pPr>
              <w:pStyle w:val="Compact"/>
              <w:jc w:val="right"/>
            </w:pPr>
            <w:r>
              <w:t xml:space="preserve">289</w:t>
            </w:r>
          </w:p>
        </w:tc>
        <w:tc>
          <w:tcPr/>
          <w:p>
            <w:pPr>
              <w:pStyle w:val="Compact"/>
              <w:jc w:val="left"/>
            </w:pPr>
            <w:r>
              <w:t xml:space="preserve">R$ 3.884.973,58</w:t>
            </w:r>
          </w:p>
        </w:tc>
        <w:tc>
          <w:tcPr/>
          <w:p>
            <w:pPr>
              <w:pStyle w:val="Compact"/>
              <w:jc w:val="left"/>
            </w:pPr>
            <w:r>
              <w:t xml:space="preserve">R$ 80.355,58</w:t>
            </w:r>
          </w:p>
        </w:tc>
      </w:tr>
    </w:tbl>
    <w:bookmarkEnd w:id="57"/>
    <w:bookmarkEnd w:id="58"/>
    <w:bookmarkStart w:id="63" w:name="Xa4ae9c97ebb39162af9ab83497bccad2859d12c"/>
    <w:p>
      <w:pPr>
        <w:pStyle w:val="Ttulo4"/>
      </w:pPr>
      <w:r>
        <w:t xml:space="preserve">Qual é a taxa de favorabilidade em anulatórias ao longo do tempo?</w:t>
      </w:r>
    </w:p>
    <w:p>
      <w:pPr>
        <w:pStyle w:val="FirstParagraph"/>
      </w:pPr>
      <w:r>
        <w:t xml:space="preserve">A</w:t>
      </w:r>
      <w:r>
        <w:t xml:space="preserve"> </w:t>
      </w:r>
      <w:hyperlink w:anchor="fig-anulacao-no-tempo">
        <w:r>
          <w:rPr>
            <w:rStyle w:val="Hyperlink"/>
          </w:rPr>
          <w:t xml:space="preserve">Figura 4</w:t>
        </w:r>
      </w:hyperlink>
      <w:r>
        <w:t xml:space="preserve"> </w:t>
      </w:r>
      <w:r>
        <w:t xml:space="preserve">mostra a taxa de casos favoráveis (procedentes, parcialmente procedentes e acordos) em ações anulatórias por ano. Apesar da pequena quantidade de dados, é possível observar que a proporção de decisões favoráveis caiu em 2021 e 2022. Lembrando que a proporção geral de decisões favoráveis em anulatórias é de 45%, como demarcado na linha pontilhada.</w:t>
      </w:r>
    </w:p>
    <w:tbl>
      <w:tblPr>
        <w:tblStyle w:val="Table"/>
        <w:tblW w:type="pct" w:w="5000"/>
        <w:tblLook w:firstRow="0" w:lastRow="0" w:firstColumn="0" w:lastColumn="0" w:noHBand="0" w:noVBand="0" w:val="0000"/>
      </w:tblPr>
      <w:tblGrid>
        <w:gridCol w:w="7920"/>
      </w:tblGrid>
      <w:tr>
        <w:tc>
          <w:tcPr/>
          <w:bookmarkStart w:id="62" w:name="fig-anulacao-no-tempo"/>
          <w:p>
            <w:pPr>
              <w:pStyle w:val="Figure"/>
              <w:jc w:val="center"/>
            </w:pPr>
            <w:r>
              <w:drawing>
                <wp:inline>
                  <wp:extent cx="5943600" cy="3396342"/>
                  <wp:effectExtent b="0" l="0" r="0" t="0"/>
                  <wp:docPr descr="" title="" id="60" name="Picture"/>
                  <a:graphic>
                    <a:graphicData uri="http://schemas.openxmlformats.org/drawingml/2006/picture">
                      <pic:pic>
                        <pic:nvPicPr>
                          <pic:cNvPr descr="relatorio_files/figure-docx/fig-anulacao-no-tempo-1.png" id="61" name="Picture"/>
                          <pic:cNvPicPr>
                            <a:picLocks noChangeArrowheads="1" noChangeAspect="1"/>
                          </pic:cNvPicPr>
                        </pic:nvPicPr>
                        <pic:blipFill>
                          <a:blip r:embed="rId5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Quantidade de decisões por ano</w:t>
            </w:r>
          </w:p>
          <w:bookmarkEnd w:id="62"/>
        </w:tc>
      </w:tr>
    </w:tbl>
    <w:bookmarkEnd w:id="63"/>
    <w:bookmarkEnd w:id="64"/>
    <w:bookmarkEnd w:id="65"/>
    <w:bookmarkStart w:id="68" w:name="referências"/>
    <w:p>
      <w:pPr>
        <w:pStyle w:val="Ttulo2"/>
      </w:pPr>
      <w:r>
        <w:t xml:space="preserve">Referências</w:t>
      </w:r>
    </w:p>
    <w:bookmarkStart w:id="67" w:name="refs"/>
    <w:bookmarkStart w:id="66" w:name="ref-zhaoWebScraping2017"/>
    <w:p>
      <w:pPr>
        <w:pStyle w:val="Bibliografia"/>
      </w:pPr>
      <w:r>
        <w:t xml:space="preserve">Zhao, Bo. 2017.</w:t>
      </w:r>
      <w:r>
        <w:t xml:space="preserve"> </w:t>
      </w:r>
      <w:r>
        <w:t xml:space="preserve">"Web Scraping"</w:t>
      </w:r>
      <w:r>
        <w:t xml:space="preserve">.</w:t>
      </w:r>
      <w:r>
        <w:t xml:space="preserve"> </w:t>
      </w:r>
      <w:r>
        <w:rPr>
          <w:iCs/>
          <w:i/>
        </w:rPr>
        <w:t xml:space="preserve">Encyclopedia of big data</w:t>
      </w:r>
      <w:r>
        <w:t xml:space="preserve">, 1–3.</w:t>
      </w:r>
    </w:p>
    <w:bookmarkEnd w:id="66"/>
    <w:bookmarkEnd w:id="67"/>
    <w:bookmarkEnd w:id="68"/>
    <w:sectPr w:rsidR="004E182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denotaderodap"/>
      </w:pPr>
      <w:r>
        <w:rPr>
          <w:rStyle w:val="Refdenotaderodap"/>
        </w:rPr>
        <w:footnoteRef/>
      </w:r>
      <w:r>
        <w:t xml:space="preserve"> </w:t>
      </w:r>
      <w:r>
        <w:t xml:space="preserve">Classes e assuntos são listas de tipos de processos organizadas pelo Conselho Nacional de Justiça (CNJ), através das Tabelas Processuais Unificadas (TPU), Res. 46 CNJ.</w:t>
      </w:r>
    </w:p>
  </w:footnote>
  <w:footnote w:id="28">
    <w:p>
      <w:pPr>
        <w:pStyle w:val="Textodenotaderodap"/>
      </w:pPr>
      <w:r>
        <w:rPr>
          <w:rStyle w:val="Refdenotaderodap"/>
        </w:rPr>
        <w:footnoteRef/>
      </w:r>
      <w:r>
        <w:t xml:space="preserve"> </w:t>
      </w:r>
      <w:r>
        <w:t xml:space="preserve">Um caso foi identificado em uma nova categoria</w:t>
      </w:r>
      <w:r>
        <w:t xml:space="preserve"> </w:t>
      </w:r>
      <w:r>
        <w:t xml:space="preserve">“</w:t>
      </w:r>
      <w:r>
        <w:t xml:space="preserve">Carta Arbitral</w:t>
      </w:r>
      <w:r>
        <w:t xml:space="preserve">”</w:t>
      </w:r>
      <w:r>
        <w:t xml:space="preserve"> </w:t>
      </w:r>
      <w:r>
        <w:t xml:space="preserve">(1099760-61.2021.8.26.0100). O caso foi desconsiderado da análise.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FCC035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7842FA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4B089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96E163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8F644B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316740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52069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03A48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3239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7962F3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CF859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51934747" w:numId="1">
    <w:abstractNumId w:val="10"/>
  </w:num>
  <w:num w16cid:durableId="187523152" w:numId="2">
    <w:abstractNumId w:val="9"/>
  </w:num>
  <w:num w16cid:durableId="1972705978" w:numId="3">
    <w:abstractNumId w:val="7"/>
  </w:num>
  <w:num w16cid:durableId="258685434" w:numId="4">
    <w:abstractNumId w:val="6"/>
  </w:num>
  <w:num w16cid:durableId="1697390625" w:numId="5">
    <w:abstractNumId w:val="5"/>
  </w:num>
  <w:num w16cid:durableId="1250193855" w:numId="6">
    <w:abstractNumId w:val="4"/>
  </w:num>
  <w:num w16cid:durableId="2117094986" w:numId="7">
    <w:abstractNumId w:val="8"/>
  </w:num>
  <w:num w16cid:durableId="967392069" w:numId="8">
    <w:abstractNumId w:val="3"/>
  </w:num>
  <w:num w16cid:durableId="2115132814" w:numId="9">
    <w:abstractNumId w:val="2"/>
  </w:num>
  <w:num w16cid:durableId="1598561279" w:numId="10">
    <w:abstractNumId w:val="1"/>
  </w:num>
  <w:num w16cid:durableId="728111265"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bidi="th-TH"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Corpodetexto"/>
    <w:uiPriority w:val="9"/>
    <w:qFormat/>
    <w:rsid w:val="00234D97"/>
    <w:pPr>
      <w:keepNext/>
      <w:keepLines/>
      <w:spacing w:after="0" w:before="480"/>
      <w:outlineLvl w:val="0"/>
    </w:pPr>
    <w:rPr>
      <w:rFonts w:asciiTheme="majorHAnsi" w:cstheme="majorBidi" w:eastAsiaTheme="majorEastAsia" w:hAnsiTheme="majorHAnsi"/>
      <w:b/>
      <w:bCs/>
      <w:color w:val="042E6F"/>
      <w:sz w:val="32"/>
      <w:szCs w:val="32"/>
    </w:rPr>
  </w:style>
  <w:style w:styleId="Ttulo2" w:type="paragraph">
    <w:name w:val="heading 2"/>
    <w:basedOn w:val="Normal"/>
    <w:next w:val="Corpodetexto"/>
    <w:uiPriority w:val="9"/>
    <w:unhideWhenUsed/>
    <w:qFormat/>
    <w:rsid w:val="00A737A2"/>
    <w:pPr>
      <w:keepNext/>
      <w:keepLines/>
      <w:spacing w:after="0" w:before="200"/>
      <w:outlineLvl w:val="1"/>
    </w:pPr>
    <w:rPr>
      <w:rFonts w:asciiTheme="majorHAnsi" w:cstheme="majorBidi" w:eastAsiaTheme="majorEastAsia" w:hAnsiTheme="majorHAnsi"/>
      <w:b/>
      <w:bCs/>
      <w:color w:val="042E6F"/>
      <w:sz w:val="32"/>
      <w:szCs w:val="32"/>
    </w:rPr>
  </w:style>
  <w:style w:styleId="Ttulo3" w:type="paragraph">
    <w:name w:val="heading 3"/>
    <w:basedOn w:val="Normal"/>
    <w:next w:val="Corpodetexto"/>
    <w:uiPriority w:val="9"/>
    <w:unhideWhenUsed/>
    <w:qFormat/>
    <w:rsid w:val="00A737A2"/>
    <w:pPr>
      <w:keepNext/>
      <w:keepLines/>
      <w:spacing w:after="0" w:before="200"/>
      <w:outlineLvl w:val="2"/>
    </w:pPr>
    <w:rPr>
      <w:rFonts w:asciiTheme="majorHAnsi" w:cstheme="majorBidi" w:eastAsiaTheme="majorEastAsia" w:hAnsiTheme="majorHAnsi"/>
      <w:b/>
      <w:bCs/>
      <w:color w:val="042E6F"/>
      <w:sz w:val="28"/>
      <w:szCs w:val="28"/>
    </w:rPr>
  </w:style>
  <w:style w:styleId="Ttulo4" w:type="paragraph">
    <w:name w:val="heading 4"/>
    <w:basedOn w:val="Normal"/>
    <w:next w:val="Corpodetexto"/>
    <w:uiPriority w:val="9"/>
    <w:unhideWhenUsed/>
    <w:qFormat/>
    <w:rsid w:val="00A737A2"/>
    <w:pPr>
      <w:keepNext/>
      <w:keepLines/>
      <w:spacing w:after="0" w:before="200"/>
      <w:outlineLvl w:val="3"/>
    </w:pPr>
    <w:rPr>
      <w:rFonts w:asciiTheme="majorHAnsi" w:cstheme="majorBidi" w:eastAsiaTheme="majorEastAsia" w:hAnsiTheme="majorHAnsi"/>
      <w:b/>
      <w:bCs/>
      <w:color w:val="042E6F"/>
    </w:rPr>
  </w:style>
  <w:style w:styleId="Ttulo5" w:type="paragraph">
    <w:name w:val="heading 5"/>
    <w:basedOn w:val="Normal"/>
    <w:next w:val="Corpodetexto"/>
    <w:uiPriority w:val="9"/>
    <w:unhideWhenUsed/>
    <w:qFormat/>
    <w:rsid w:val="00A737A2"/>
    <w:pPr>
      <w:keepNext/>
      <w:keepLines/>
      <w:spacing w:after="0" w:before="200"/>
      <w:outlineLvl w:val="4"/>
    </w:pPr>
    <w:rPr>
      <w:rFonts w:asciiTheme="majorHAnsi" w:cstheme="majorBidi" w:eastAsiaTheme="majorEastAsia" w:hAnsiTheme="majorHAnsi"/>
      <w:iCs/>
      <w:color w:val="042E6F"/>
    </w:rPr>
  </w:style>
  <w:style w:styleId="Ttulo6" w:type="paragraph">
    <w:name w:val="heading 6"/>
    <w:basedOn w:val="Normal"/>
    <w:next w:val="Corpodetexto"/>
    <w:uiPriority w:val="9"/>
    <w:unhideWhenUsed/>
    <w:qFormat/>
    <w:rsid w:val="00A737A2"/>
    <w:pPr>
      <w:keepNext/>
      <w:keepLines/>
      <w:spacing w:after="0" w:before="200"/>
      <w:outlineLvl w:val="5"/>
    </w:pPr>
    <w:rPr>
      <w:rFonts w:asciiTheme="majorHAnsi" w:cstheme="majorBidi" w:eastAsiaTheme="majorEastAsia" w:hAnsiTheme="majorHAnsi"/>
      <w:color w:val="042E6F"/>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234D97"/>
    <w:pPr>
      <w:spacing w:after="180" w:before="180"/>
      <w:jc w:val="both"/>
    </w:pPr>
    <w:rPr>
      <w:rFonts w:ascii="Arial" w:hAnsi="Arial"/>
      <w:sz w:val="22"/>
    </w:rPr>
  </w:style>
  <w:style w:customStyle="1" w:styleId="FirstParagraph" w:type="paragraph">
    <w:name w:val="First Paragraph"/>
    <w:basedOn w:val="Corpodetexto"/>
    <w:next w:val="Corpodetexto"/>
    <w:qFormat/>
  </w:style>
  <w:style w:customStyle="1" w:styleId="Compact" w:type="paragraph">
    <w:name w:val="Compact"/>
    <w:basedOn w:val="Corpodetexto"/>
    <w:qFormat/>
    <w:rsid w:val="00F36BB4"/>
    <w:pPr>
      <w:spacing w:after="36" w:before="36"/>
    </w:pPr>
    <w:rPr>
      <w:sz w:val="20"/>
    </w:rPr>
  </w:style>
  <w:style w:styleId="Ttulo" w:type="paragraph">
    <w:name w:val="Title"/>
    <w:basedOn w:val="Normal"/>
    <w:next w:val="Corpodetexto"/>
    <w:qFormat/>
    <w:rsid w:val="00234D97"/>
    <w:pPr>
      <w:keepNext/>
      <w:keepLines/>
      <w:spacing w:after="240" w:before="480"/>
    </w:pPr>
    <w:rPr>
      <w:rFonts w:asciiTheme="majorHAnsi" w:cstheme="majorBidi" w:eastAsiaTheme="majorEastAsia" w:hAnsiTheme="majorHAnsi"/>
      <w:b/>
      <w:bCs/>
      <w:color w:val="042E6F"/>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qFormat/>
    <w:rsid w:val="00234D97"/>
    <w:pPr>
      <w:keepNext/>
      <w:keepLines/>
    </w:pPr>
    <w:rPr>
      <w:rFonts w:ascii="Arial" w:hAnsi="Arial"/>
    </w:rPr>
  </w:style>
  <w:style w:styleId="Data" w:type="paragraph">
    <w:name w:val="Date"/>
    <w:next w:val="Corpodetexto"/>
    <w:qFormat/>
    <w:rsid w:val="00234D97"/>
    <w:pPr>
      <w:keepNext/>
      <w:keepLines/>
    </w:pPr>
    <w:rPr>
      <w:rFonts w:ascii="Arial" w:hAnsi="Arial"/>
    </w:rPr>
  </w:style>
  <w:style w:customStyle="1" w:styleId="Abstract" w:type="paragraph">
    <w:name w:val="Abstract"/>
    <w:basedOn w:val="Normal"/>
    <w:next w:val="Corpodetexto"/>
    <w:qFormat/>
    <w:pPr>
      <w:keepNext/>
      <w:keepLines/>
      <w:spacing w:after="300" w:before="300"/>
    </w:pPr>
    <w:rPr>
      <w:sz w:val="20"/>
      <w:szCs w:val="20"/>
    </w:rPr>
  </w:style>
  <w:style w:styleId="Bibliografia" w:type="paragraph">
    <w:name w:val="Bibliography"/>
    <w:basedOn w:val="Normal"/>
    <w:qFormat/>
    <w:rsid w:val="00A737A2"/>
    <w:rPr>
      <w:rFonts w:ascii="Arial" w:hAnsi="Arial"/>
      <w:sz w:val="22"/>
    </w:rPr>
  </w:style>
  <w:style w:styleId="Textoembloco" w:type="paragraph">
    <w:name w:val="Block Text"/>
    <w:basedOn w:val="Corpodetexto"/>
    <w:next w:val="Corpodetexto"/>
    <w:uiPriority w:val="9"/>
    <w:unhideWhenUsed/>
    <w:qFormat/>
    <w:pPr>
      <w:spacing w:after="100" w:before="100"/>
    </w:pPr>
    <w:rPr>
      <w:rFonts w:asciiTheme="majorHAnsi" w:cstheme="majorBidi" w:eastAsiaTheme="majorEastAsia" w:hAnsiTheme="majorHAnsi"/>
      <w:bCs/>
      <w:sz w:val="20"/>
      <w:szCs w:val="20"/>
    </w:rPr>
  </w:style>
  <w:style w:styleId="Textodenotaderodap" w:type="paragraph">
    <w:name w:val="footnote text"/>
    <w:basedOn w:val="Normal"/>
    <w:uiPriority w:val="9"/>
    <w:unhideWhenUsed/>
    <w:qFormat/>
    <w:rsid w:val="009662A5"/>
    <w:pPr>
      <w:jc w:val="both"/>
    </w:pPr>
    <w:rPr>
      <w:rFonts w:ascii="Arial" w:hAnsi="Arial"/>
      <w:sz w:val="18"/>
    </w:rPr>
  </w:style>
  <w:style w:customStyle="1" w:styleId="Table" w:type="table">
    <w:name w:val="Table"/>
    <w:semiHidden/>
    <w:unhideWhenUsed/>
    <w:qFormat/>
    <w:rsid w:val="00B87C8B"/>
    <w:rPr>
      <w:rFonts w:ascii="Arial" w:hAnsi="Arial"/>
      <w:sz w:val="20"/>
      <w:szCs w:val="20"/>
      <w:lang w:eastAsia="pt-BR" w:val="pt"/>
    </w:rPr>
    <w:tblPr>
      <w:tblStyleRowBandSize w:val="1"/>
      <w:jc w:val="center"/>
      <w:tblInd w:type="dxa" w:w="0"/>
      <w:tblCellMar>
        <w:top w:type="dxa" w:w="0"/>
        <w:left w:type="dxa" w:w="108"/>
        <w:bottom w:type="dxa" w:w="0"/>
        <w:right w:type="dxa" w:w="108"/>
      </w:tblCellMar>
    </w:tblPr>
    <w:trPr>
      <w:jc w:val="center"/>
    </w:trPr>
    <w:tcPr>
      <w:vAlign w:val="center"/>
    </w:tcPr>
    <w:tblStylePr w:type="firstRow">
      <w:rPr>
        <w:rFonts w:ascii="Arial" w:hAnsi="Arial"/>
        <w:b/>
        <w:sz w:val="20"/>
      </w:rPr>
      <w:tblPr/>
      <w:tcPr>
        <w:tcBorders>
          <w:top w:color="auto" w:space="0" w:sz="4" w:val="single"/>
          <w:bottom w:color="auto" w:space="0" w:sz="4" w:val="single"/>
        </w:tcBorders>
        <w:shd w:color="auto" w:fill="FFFFFF" w:themeFill="background1" w:val="clear"/>
      </w:tcPr>
    </w:tblStylePr>
    <w:tblStylePr w:type="lastRow">
      <w:rPr>
        <w:b/>
      </w:rPr>
      <w:tblPr/>
      <w:tcPr>
        <w:tcBorders>
          <w:top w:color="auto" w:space="0" w:sz="4" w:val="single"/>
          <w:bottom w:color="auto" w:space="0" w:sz="4" w:val="single"/>
        </w:tcBorders>
      </w:tcPr>
    </w:tblStylePr>
    <w:tblStylePr w:type="band2Horz">
      <w:tblPr/>
      <w:tcPr>
        <w:shd w:color="auto" w:fill="F2F2F2" w:themeFill="background1" w:themeFillShade="F2" w:val="clear"/>
      </w:tcPr>
    </w:tblStylePr>
  </w:style>
  <w:style w:customStyle="1" w:styleId="DefinitionTerm" w:type="paragraph">
    <w:name w:val="Definition Term"/>
    <w:basedOn w:val="Normal"/>
    <w:next w:val="Definition"/>
    <w:rsid w:val="009662A5"/>
    <w:pPr>
      <w:keepNext/>
      <w:keepLines/>
      <w:spacing w:after="0"/>
    </w:pPr>
    <w:rPr>
      <w:rFonts w:ascii="Arial" w:hAnsi="Arial"/>
      <w:b/>
      <w:sz w:val="22"/>
    </w:rPr>
  </w:style>
  <w:style w:customStyle="1" w:styleId="Definition" w:type="paragraph">
    <w:name w:val="Definition"/>
    <w:basedOn w:val="Normal"/>
    <w:rsid w:val="009662A5"/>
    <w:rPr>
      <w:rFonts w:ascii="Arial" w:hAnsi="Arial"/>
      <w:sz w:val="22"/>
    </w:rPr>
  </w:style>
  <w:style w:styleId="Legenda" w:type="paragraph">
    <w:name w:val="caption"/>
    <w:basedOn w:val="Normal"/>
    <w:link w:val="LegendaChar"/>
    <w:pPr>
      <w:spacing w:after="120"/>
    </w:pPr>
    <w:rPr>
      <w:i/>
    </w:rPr>
  </w:style>
  <w:style w:customStyle="1" w:styleId="TableCaption" w:type="paragraph">
    <w:name w:val="Table Caption"/>
    <w:basedOn w:val="Legenda"/>
    <w:rsid w:val="009662A5"/>
    <w:pPr>
      <w:keepNext/>
      <w:jc w:val="center"/>
    </w:pPr>
    <w:rPr>
      <w:rFonts w:ascii="Arial" w:hAnsi="Arial"/>
      <w:i w:val="0"/>
      <w:sz w:val="22"/>
    </w:rPr>
  </w:style>
  <w:style w:customStyle="1" w:styleId="ImageCaption" w:type="paragraph">
    <w:name w:val="Image Caption"/>
    <w:basedOn w:val="Legenda"/>
    <w:rsid w:val="009662A5"/>
    <w:pPr>
      <w:jc w:val="center"/>
    </w:pPr>
    <w:rPr>
      <w:rFonts w:ascii="Arial" w:hAnsi="Arial"/>
      <w:i w:val="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rPr>
      <w:rFonts w:ascii="Consolas" w:hAnsi="Consolas"/>
      <w:sz w:val="22"/>
    </w:rP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pPr>
      <w:spacing w:before="240" w:line="259" w:lineRule="auto"/>
      <w:outlineLvl w:val="9"/>
    </w:pPr>
    <w:rPr>
      <w:b w:val="0"/>
      <w:bCs w:val="0"/>
      <w:color w:themeColor="accent1" w:themeShade="BF" w:val="365F91"/>
    </w:rPr>
  </w:style>
  <w:style w:customStyle="1" w:styleId="CorpodetextoChar" w:type="character">
    <w:name w:val="Corpo de texto Char"/>
    <w:basedOn w:val="Fontepargpadro"/>
    <w:link w:val="Corpodetexto"/>
    <w:rsid w:val="00A737A2"/>
    <w:rPr>
      <w:rFonts w:ascii="Arial" w:hAnsi="Arial"/>
      <w:sz w:val="2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hyperlink" Id="rId20" Target="https://esaj.tjsp.jus.br/cjpg/pesquisar.do" TargetMode="External" /><Relationship Type="http://schemas.openxmlformats.org/officeDocument/2006/relationships/hyperlink" Id="rId21" Target="https://esaj.tjsp.jus.br/cpopg/open.do" TargetMode="External" /><Relationship Type="http://schemas.openxmlformats.org/officeDocument/2006/relationships/hyperlink" Id="rId31" Target="https://github.com/abjur/obsArb/raw/main/inst/da_arbitragem.xlsx" TargetMode="External" /></Relationships>
</file>

<file path=word/_rels/footnotes.xml.rels><?xml version="1.0" encoding="UTF-8"?><Relationships xmlns="http://schemas.openxmlformats.org/package/2006/relationships"><Relationship Type="http://schemas.openxmlformats.org/officeDocument/2006/relationships/hyperlink" Id="rId20" Target="https://esaj.tjsp.jus.br/cjpg/pesquisar.do" TargetMode="External" /><Relationship Type="http://schemas.openxmlformats.org/officeDocument/2006/relationships/hyperlink" Id="rId21" Target="https://esaj.tjsp.jus.br/cpopg/open.do" TargetMode="External" /><Relationship Type="http://schemas.openxmlformats.org/officeDocument/2006/relationships/hyperlink" Id="rId31" Target="https://github.com/abjur/obsArb/raw/main/inst/da_arbitragem.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66</Words>
  <Characters>359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dc:language>pt</dc:language>
  <cp:keywords/>
  <dcterms:created xsi:type="dcterms:W3CDTF">2022-12-02T19:58:18Z</dcterms:created>
  <dcterms:modified xsi:type="dcterms:W3CDTF">2022-12-02T19:58:18Z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02/12/2022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preliminar no banco de sentenças do TJSP</vt:lpwstr>
  </property>
  <property fmtid="{D5CDD505-2E9C-101B-9397-08002B2CF9AE}" pid="14" name="toc-title">
    <vt:lpwstr>Índice</vt:lpwstr>
  </property>
</Properties>
</file>