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69.png" ContentType="image/png"/>
  <Override PartName="/word/media/rId42.png" ContentType="image/png"/>
  <Override PartName="/word/media/rId46.png" ContentType="image/png"/>
  <Override PartName="/word/media/rId51.png" ContentType="image/png"/>
  <Override PartName="/word/media/rId58.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preliminar</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2023-05-23</w:t>
      </w:r>
    </w:p>
    <w:sdt>
      <w:sdtPr>
        <w:docPartObj>
          <w:docPartGallery w:val="Table of Contents"/>
          <w:docPartUnique/>
        </w:docPartObj>
      </w:sdtPr>
      <w:sdtContent>
        <w:p>
          <w:pPr>
            <w:pStyle w:val="CabealhodoSumrio"/>
          </w:pPr>
          <w:r>
            <w:t xml:space="preserve">Índice</w:t>
          </w:r>
        </w:p>
        <w:p>
          <w:r>
            <w:fldChar w:fldCharType="begin" w:dirty="true"/>
            <w:instrText xml:space="preserve">TOC \o "1-3" \h \z \u</w:instrText>
            <w:fldChar w:fldCharType="separate"/>
            <w:fldChar w:fldCharType="end"/>
          </w:r>
        </w:p>
      </w:sdtContent>
    </w:sdt>
    <w:bookmarkStart w:id="20" w:name="introdução"/>
    <w:p>
      <w:pPr>
        <w:pStyle w:val="Ttulo1"/>
      </w:pPr>
      <w:r>
        <w:t xml:space="preserve">Introdução</w:t>
      </w:r>
    </w:p>
    <w:p>
      <w:pPr>
        <w:pStyle w:val="FirstParagraph"/>
      </w:pPr>
      <w:r>
        <w:t xml:space="preserve">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existência, validade e eficácia da convenção de arbitragem e v) ação para instituição da arbitragem com base no art, 7º da Lei de Arbitragem.</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End w:id="20"/>
    <w:bookmarkStart w:id="26" w:name="download"/>
    <w:p>
      <w:pPr>
        <w:pStyle w:val="Ttulo1"/>
      </w:pPr>
      <w:r>
        <w:t xml:space="preserve">Download</w:t>
      </w:r>
    </w:p>
    <w:p>
      <w:pPr>
        <w:pStyle w:val="FirstParagraph"/>
      </w:pPr>
      <w:r>
        <w:t xml:space="preserve">Antes de descrever o processo de coleta, é importante ressaltar que o TJSP não forneceu acesso aos processos mantidos sob sigilo, nem forneceu uma lista de processos distribuídos no período. O pedido de dados foi realizado ainda em 2021 e, mesmo após muitas tentativas de contato, os dados não foram fornecidos.</w:t>
      </w:r>
    </w:p>
    <w:p>
      <w:pPr>
        <w:pStyle w:val="Corpodetexto"/>
      </w:pPr>
      <w:r>
        <w:t xml:space="preserve">Como consequência, a amostra da nossa análise a totalidade dos processos existentes no tribunal. Apesar desta limitação, acredita-se que os dados coletados e analisados ainda são valiosos e oferecem resultados significativos sobre o tema. É importante levar essa limitação em consideração ao interpretar os resultados apresentados.</w:t>
      </w:r>
    </w:p>
    <w:p>
      <w:pPr>
        <w:pStyle w:val="Corpodetexto"/>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tribunal, no entanto, disponibiliza ferramentas de consulta. Na</w:t>
      </w:r>
      <w:r>
        <w:t xml:space="preserve"> </w:t>
      </w:r>
      <w:hyperlink r:id="rId21">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2">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3"/>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w:t>
      </w:r>
      <w:r>
        <w:rPr>
          <w:rStyle w:val="Refdenotaderodap"/>
        </w:rPr>
        <w:footnoteReference w:id="24"/>
      </w:r>
      <w:r>
        <w:t xml:space="preserve">.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bookmarkEnd w:id="26"/>
    <w:bookmarkStart w:id="36" w:name="arrumação"/>
    <w:p>
      <w:pPr>
        <w:pStyle w:val="Ttulo1"/>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7"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jc w:val="start"/>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Convencao</w:t>
            </w:r>
          </w:p>
        </w:tc>
        <w:tc>
          <w:tcPr/>
          <w:p>
            <w:pPr>
              <w:pStyle w:val="Compact"/>
              <w:jc w:val="left"/>
            </w:pPr>
            <w:r>
              <w:t xml:space="preserve">(convenção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7"/>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detectada em cada categoria. É importante destacar que toda classificação automática pode incorrer em erros, ou seja, pode ser que as categorias finais fiquem incorretas. Os casos vazios foram retirados.</w:t>
      </w:r>
    </w:p>
    <w:bookmarkStart w:id="28" w:name="tbl-tabela-tipo"/>
    <w:p>
      <w:pPr>
        <w:pStyle w:val="TableCaption"/>
      </w:pPr>
      <w:r>
        <w:t xml:space="preserve">Tabela 2: Processos classificados por categoria</w:t>
      </w:r>
    </w:p>
    <w:tbl>
      <w:tblPr>
        <w:tblStyle w:val="Table"/>
        <w:tblW w:type="auto" w:w="0"/>
        <w:tblLook w:firstRow="1" w:lastRow="0" w:firstColumn="0" w:lastColumn="0" w:noHBand="0" w:noVBand="0" w:val="0020"/>
        <w:jc w:val="start"/>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Convencao</w:t>
            </w:r>
          </w:p>
        </w:tc>
        <w:tc>
          <w:tcPr/>
          <w:p>
            <w:pPr>
              <w:pStyle w:val="Compact"/>
              <w:jc w:val="right"/>
            </w:pPr>
            <w:r>
              <w:t xml:space="preserve">135</w:t>
            </w:r>
          </w:p>
        </w:tc>
        <w:tc>
          <w:tcPr/>
          <w:p>
            <w:pPr>
              <w:pStyle w:val="Compact"/>
              <w:jc w:val="right"/>
            </w:pPr>
            <w:r>
              <w:t xml:space="preserve">39.94%</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24.56%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13.02%</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10.36%</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10.06%</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2.07%</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100.00%</w:t>
            </w:r>
          </w:p>
        </w:tc>
      </w:tr>
    </w:tbl>
    <w:bookmarkEnd w:id="28"/>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9"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jc w:val="start"/>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9"/>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3" w:name="revisão-manual"/>
    <w:p>
      <w:pPr>
        <w:pStyle w:val="Ttulo2"/>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faziam parte do escopo</w:t>
      </w:r>
      <w:r>
        <w:rPr>
          <w:rStyle w:val="Refdenotaderodap"/>
        </w:rPr>
        <w:footnoteReference w:id="30"/>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4</w:t>
        </w:r>
      </w:hyperlink>
      <w:r>
        <w:t xml:space="preserve"> </w:t>
      </w:r>
      <w:r>
        <w:t xml:space="preserve">mostra as classificações depois da correção manual.</w:t>
      </w:r>
    </w:p>
    <w:bookmarkStart w:id="31" w:name="tbl-tabela-tipo-revisao"/>
    <w:p>
      <w:pPr>
        <w:pStyle w:val="TableCaption"/>
      </w:pPr>
      <w:r>
        <w:t xml:space="preserve">Tabela 4: Processos classificados por categoria, após revisão</w:t>
      </w:r>
    </w:p>
    <w:tbl>
      <w:tblPr>
        <w:tblStyle w:val="Table"/>
        <w:tblW w:type="auto" w:w="0"/>
        <w:tblLook w:firstRow="1" w:lastRow="0" w:firstColumn="0" w:lastColumn="0" w:noHBand="0" w:noVBand="0" w:val="0020"/>
        <w:jc w:val="start"/>
        <w:tblCaption w:val="Tabela 4: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32.87%</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25.95%</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21.80%</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15.92%</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3.46%</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100.00%</w:t>
            </w:r>
          </w:p>
        </w:tc>
      </w:tr>
    </w:tbl>
    <w:bookmarkEnd w:id="31"/>
    <w:p>
      <w:pPr>
        <w:pStyle w:val="Corpodetexto"/>
      </w:pPr>
      <w:r>
        <w:t xml:space="preserve">Com relação aos resultados, não houve mudanças significativas. A categoria que mais mudou foi a de acordos, que costumam ser difíceis de mapear apenas por palavras-chave. Os resultados completos são apresentados na próxima seção.</w:t>
      </w:r>
    </w:p>
    <w:p>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w:t>
      </w:r>
      <w:r>
        <w:t xml:space="preserve"> </w:t>
      </w:r>
      <w:r>
        <w:rPr>
          <w:rStyle w:val="VerbatimChar"/>
        </w:rPr>
        <w:t xml:space="preserve">unimed</w:t>
      </w:r>
      <w:r>
        <w:t xml:space="preserve"> </w:t>
      </w:r>
      <w:r>
        <w:t xml:space="preserve">foi adicionada para permitir novos filtros de análise.</w:t>
      </w:r>
    </w:p>
    <w:p>
      <w:pPr>
        <w:pStyle w:val="Corpodetexto"/>
      </w:pPr>
      <w:r>
        <w:t xml:space="preserve">No final, a base ficou com 289 linhas e 13 colunas, contendo todas as informações utilizadas na parte de análise. A base de dados em Excel pode ser baixada</w:t>
      </w:r>
      <w:r>
        <w:t xml:space="preserve"> </w:t>
      </w:r>
      <w:hyperlink r:id="rId32">
        <w:r>
          <w:rPr>
            <w:rStyle w:val="Hyperlink"/>
          </w:rPr>
          <w:t xml:space="preserve">neste link</w:t>
        </w:r>
      </w:hyperlink>
      <w:r>
        <w:t xml:space="preserve">.</w:t>
      </w:r>
    </w:p>
    <w:bookmarkEnd w:id="33"/>
    <w:bookmarkStart w:id="35" w:name="segunda-instância"/>
    <w:p>
      <w:pPr>
        <w:pStyle w:val="Ttulo2"/>
      </w:pPr>
      <w:r>
        <w:t xml:space="preserve">Segunda instância</w:t>
      </w:r>
    </w:p>
    <w:p>
      <w:pPr>
        <w:pStyle w:val="FirstParagraph"/>
      </w:pPr>
      <w:r>
        <w:t xml:space="preserve">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pPr>
        <w:pStyle w:val="Corpodetexto"/>
      </w:pPr>
      <w:r>
        <w:t xml:space="preserve">Dos 289 processos, 173 apresentaram algum recurso, sendo 126 (73%) com classe</w:t>
      </w:r>
      <w:r>
        <w:t xml:space="preserve"> </w:t>
      </w:r>
      <w:r>
        <w:t xml:space="preserve">“</w:t>
      </w:r>
      <w:r>
        <w:t xml:space="preserve">Apelação Cível</w:t>
      </w:r>
      <w:r>
        <w:t xml:space="preserve">”</w:t>
      </w:r>
      <w:r>
        <w:t xml:space="preserve"> </w:t>
      </w:r>
      <w:r>
        <w:t xml:space="preserve">e 47 (27%) com classe</w:t>
      </w:r>
      <w:r>
        <w:t xml:space="preserve"> </w:t>
      </w:r>
      <w:r>
        <w:t xml:space="preserve">“</w:t>
      </w:r>
      <w:r>
        <w:t xml:space="preserve">Agravo de Instrumento</w:t>
      </w:r>
      <w:r>
        <w:t xml:space="preserve">”</w:t>
      </w:r>
      <w:r>
        <w:t xml:space="preserve">.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pPr>
        <w:pStyle w:val="Corpodetexto"/>
      </w:pPr>
      <w:r>
        <w:t xml:space="preserve">Após o filtro inicial, a base passou por uma revisão manual. A revisão foi realizada nos 57 casos que tinham alguma decisão diferente de não provimento Na nova análise, foram incluídas duas informações manualmente: se a decisão arbitral foi reformada e uma coluna identificando se o caso era relacionado com a Unimed.</w:t>
      </w:r>
    </w:p>
    <w:p>
      <w:pPr>
        <w:pStyle w:val="Corpodetexto"/>
      </w:pPr>
      <w:r>
        <w:t xml:space="preserve">A base de segunda instância foi considerada para calcular a taxa de recorribilidade e a taxa de decisões favoráveis na segunda instância. A taxa de reforma da decisão arbitral foi calculada a partir da análise manual.</w:t>
      </w:r>
    </w:p>
    <w:p>
      <w:pPr>
        <w:pStyle w:val="Corpodetexto"/>
      </w:pPr>
      <w:r>
        <w:t xml:space="preserve">A base considerada possui 173 linhas e 8 colunas. A base de dados em Excel pode ser baixada</w:t>
      </w:r>
      <w:r>
        <w:t xml:space="preserve"> </w:t>
      </w:r>
      <w:hyperlink r:id="rId34">
        <w:r>
          <w:rPr>
            <w:rStyle w:val="Hyperlink"/>
          </w:rPr>
          <w:t xml:space="preserve">neste link</w:t>
        </w:r>
      </w:hyperlink>
      <w:r>
        <w:t xml:space="preserve">.</w:t>
      </w:r>
    </w:p>
    <w:bookmarkEnd w:id="35"/>
    <w:bookmarkEnd w:id="36"/>
    <w:bookmarkStart w:id="82" w:name="análise"/>
    <w:p>
      <w:pPr>
        <w:pStyle w:val="Ttulo1"/>
      </w:pPr>
      <w:r>
        <w:t xml:space="preserve">Análise</w:t>
      </w:r>
    </w:p>
    <w:p>
      <w:pPr>
        <w:pStyle w:val="FirstParagraph"/>
      </w:pPr>
      <w:r>
        <w:t xml:space="preserve">A base possui 289 casos, dentre os quais 226 são digitais ou digitalizados (78%). Em uma nova análise manual mais aprofundada, seriam considerados apenas processos digitais ou digitalizados.</w:t>
      </w:r>
    </w:p>
    <w:p>
      <w:pPr>
        <w:pStyle w:val="Corpodetexto"/>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5</w:t>
        </w:r>
      </w:hyperlink>
      <w:r>
        <w:t xml:space="preserve"> </w:t>
      </w:r>
      <w:r>
        <w:t xml:space="preserve">mostra as classes processuais mais comuns encontradas. É possível notar que existem muitas classes que não são relacionadas diretamente a arbitragem.</w:t>
      </w:r>
    </w:p>
    <w:bookmarkStart w:id="37" w:name="tbl-classe"/>
    <w:p>
      <w:pPr>
        <w:pStyle w:val="TableCaption"/>
      </w:pPr>
      <w:r>
        <w:t xml:space="preserve">Tabela 5: Classes mais comuns</w:t>
      </w:r>
    </w:p>
    <w:tbl>
      <w:tblPr>
        <w:tblStyle w:val="Table"/>
        <w:tblW w:type="auto" w:w="0"/>
        <w:tblLook w:firstRow="1" w:lastRow="0" w:firstColumn="0" w:lastColumn="0" w:noHBand="0" w:noVBand="0" w:val="0020"/>
        <w:jc w:val="start"/>
        <w:tblCaption w:val="Tabela 5: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Convenção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7"/>
    <w:p>
      <w:pPr>
        <w:pStyle w:val="Corpodetexto"/>
      </w:pPr>
      <w:r>
        <w:t xml:space="preserve">A</w:t>
      </w:r>
      <w:r>
        <w:t xml:space="preserve"> </w:t>
      </w:r>
      <w:hyperlink w:anchor="tbl-assunto">
        <w:r>
          <w:rPr>
            <w:rStyle w:val="Hyperlink"/>
          </w:rPr>
          <w:t xml:space="preserve">Tabela 6</w:t>
        </w:r>
      </w:hyperlink>
      <w:r>
        <w:t xml:space="preserve"> </w:t>
      </w:r>
      <w:r>
        <w:t xml:space="preserve">mostra os dez assuntos processuais mais comuns encontrados. Assim como nas classes, é possível notar que existem muitos assuntos que não são relacionadas diretamente a arbitragem.</w:t>
      </w:r>
    </w:p>
    <w:bookmarkStart w:id="38" w:name="tbl-assunto"/>
    <w:p>
      <w:pPr>
        <w:pStyle w:val="TableCaption"/>
      </w:pPr>
      <w:r>
        <w:t xml:space="preserve">Tabela 6: Assuntos mais comuns</w:t>
      </w:r>
    </w:p>
    <w:tbl>
      <w:tblPr>
        <w:tblStyle w:val="Table"/>
        <w:tblW w:type="pct" w:w="5000"/>
        <w:tblLook w:firstRow="1" w:lastRow="0" w:firstColumn="0" w:lastColumn="0" w:noHBand="0" w:noVBand="0" w:val="0020"/>
        <w:jc w:val="start"/>
        <w:tblCaption w:val="Tabela 6: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8"/>
    <w:p>
      <w:pPr>
        <w:pStyle w:val="Corpodetexto"/>
      </w:pPr>
      <w:r>
        <w:t xml:space="preserve">A</w:t>
      </w:r>
      <w:r>
        <w:t xml:space="preserve"> </w:t>
      </w:r>
      <w:hyperlink w:anchor="tbl-valor">
        <w:r>
          <w:rPr>
            <w:rStyle w:val="Hyperlink"/>
          </w:rPr>
          <w:t xml:space="preserve">Tabela 7</w:t>
        </w:r>
      </w:hyperlink>
      <w:r>
        <w:t xml:space="preserve"> </w:t>
      </w:r>
      <w:r>
        <w:t xml:space="preserve">mostra a contagem de processos por faixa de valores de causa. É possível notar que existe uma alta assimetria, já que temos vários processos de até 10 mil reais, mas também processos de mais de 10 milhões de reais.</w:t>
      </w:r>
    </w:p>
    <w:bookmarkStart w:id="39" w:name="tbl-valor"/>
    <w:p>
      <w:pPr>
        <w:pStyle w:val="TableCaption"/>
      </w:pPr>
      <w:r>
        <w:t xml:space="preserve">Tabela 7: Faixas de valores</w:t>
      </w:r>
    </w:p>
    <w:tbl>
      <w:tblPr>
        <w:tblStyle w:val="Table"/>
        <w:tblW w:type="auto" w:w="0"/>
        <w:tblLook w:firstRow="1" w:lastRow="0" w:firstColumn="0" w:lastColumn="0" w:noHBand="0" w:noVBand="0" w:val="0020"/>
        <w:jc w:val="start"/>
        <w:tblCaption w:val="Tabela 7: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9"/>
    <w:p>
      <w:pPr>
        <w:pStyle w:val="Corpodetexto"/>
      </w:pPr>
      <w:r>
        <w:t xml:space="preserve">A</w:t>
      </w:r>
      <w:r>
        <w:t xml:space="preserve"> </w:t>
      </w:r>
      <w:hyperlink w:anchor="tbl-valor-anulatoria">
        <w:r>
          <w:rPr>
            <w:rStyle w:val="Hyperlink"/>
          </w:rPr>
          <w:t xml:space="preserve">Tabela 8</w:t>
        </w:r>
      </w:hyperlink>
      <w:r>
        <w:t xml:space="preserve"> </w:t>
      </w:r>
      <w:r>
        <w:t xml:space="preserve">mostra a contagem de processos por faixa de valores de causa nas anulatórias. Mais da metade dos processos estão na faixa de 100 mil reais a 10 milhões. Ou seja, os valores são maiores nas anulatórias do que na amostra geral.</w:t>
      </w:r>
    </w:p>
    <w:bookmarkStart w:id="40" w:name="tbl-valor-anulatoria"/>
    <w:p>
      <w:pPr>
        <w:pStyle w:val="TableCaption"/>
      </w:pPr>
      <w:r>
        <w:t xml:space="preserve">Tabela 8: Faixas de valores nas anulatórias</w:t>
      </w:r>
    </w:p>
    <w:tbl>
      <w:tblPr>
        <w:tblStyle w:val="Table"/>
        <w:tblW w:type="auto" w:w="0"/>
        <w:tblLook w:firstRow="1" w:lastRow="0" w:firstColumn="0" w:lastColumn="0" w:noHBand="0" w:noVBand="0" w:val="0020"/>
        <w:jc w:val="start"/>
        <w:tblCaption w:val="Tabela 8: Faixas de valores nas anulatória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15</w:t>
            </w:r>
          </w:p>
        </w:tc>
        <w:tc>
          <w:tcPr/>
          <w:p>
            <w:pPr>
              <w:pStyle w:val="Compact"/>
              <w:jc w:val="right"/>
            </w:pPr>
            <w:r>
              <w:t xml:space="preserve">15.8%</w:t>
            </w:r>
          </w:p>
        </w:tc>
      </w:tr>
      <w:tr>
        <w:tc>
          <w:tcPr/>
          <w:p>
            <w:pPr>
              <w:pStyle w:val="Compact"/>
              <w:jc w:val="left"/>
            </w:pPr>
            <w:r>
              <w:t xml:space="preserve">Entre R$ 10.000 e R$ 100.000</w:t>
            </w:r>
          </w:p>
        </w:tc>
        <w:tc>
          <w:tcPr/>
          <w:p>
            <w:pPr>
              <w:pStyle w:val="Compact"/>
              <w:jc w:val="right"/>
            </w:pPr>
            <w:r>
              <w:t xml:space="preserve">15</w:t>
            </w:r>
          </w:p>
        </w:tc>
        <w:tc>
          <w:tcPr/>
          <w:p>
            <w:pPr>
              <w:pStyle w:val="Compact"/>
              <w:jc w:val="right"/>
            </w:pPr>
            <w:r>
              <w:t xml:space="preserve">15.8%</w:t>
            </w:r>
          </w:p>
        </w:tc>
      </w:tr>
      <w:tr>
        <w:tc>
          <w:tcPr/>
          <w:p>
            <w:pPr>
              <w:pStyle w:val="Compact"/>
              <w:jc w:val="left"/>
            </w:pPr>
            <w:r>
              <w:t xml:space="preserve">Entre R$ 100.000 e R$ 1 milhão</w:t>
            </w:r>
          </w:p>
        </w:tc>
        <w:tc>
          <w:tcPr/>
          <w:p>
            <w:pPr>
              <w:pStyle w:val="Compact"/>
              <w:jc w:val="right"/>
            </w:pPr>
            <w:r>
              <w:t xml:space="preserve">40</w:t>
            </w:r>
          </w:p>
        </w:tc>
        <w:tc>
          <w:tcPr/>
          <w:p>
            <w:pPr>
              <w:pStyle w:val="Compact"/>
              <w:jc w:val="right"/>
            </w:pPr>
            <w:r>
              <w:t xml:space="preserve">42.1%</w:t>
            </w:r>
          </w:p>
        </w:tc>
      </w:tr>
      <w:tr>
        <w:tc>
          <w:tcPr/>
          <w:p>
            <w:pPr>
              <w:pStyle w:val="Compact"/>
              <w:jc w:val="left"/>
            </w:pPr>
            <w:r>
              <w:t xml:space="preserve">Entre R$ 1 milhão e R$ 10 milhões</w:t>
            </w:r>
          </w:p>
        </w:tc>
        <w:tc>
          <w:tcPr/>
          <w:p>
            <w:pPr>
              <w:pStyle w:val="Compact"/>
              <w:jc w:val="right"/>
            </w:pPr>
            <w:r>
              <w:t xml:space="preserve">16</w:t>
            </w:r>
          </w:p>
        </w:tc>
        <w:tc>
          <w:tcPr/>
          <w:p>
            <w:pPr>
              <w:pStyle w:val="Compact"/>
              <w:jc w:val="right"/>
            </w:pPr>
            <w:r>
              <w:t xml:space="preserve">16.8%</w:t>
            </w:r>
          </w:p>
        </w:tc>
      </w:tr>
      <w:tr>
        <w:tc>
          <w:tcPr/>
          <w:p>
            <w:pPr>
              <w:pStyle w:val="Compact"/>
              <w:jc w:val="left"/>
            </w:pPr>
            <w:r>
              <w:t xml:space="preserve">R$ 10 milhões ou mais</w:t>
            </w:r>
          </w:p>
        </w:tc>
        <w:tc>
          <w:tcPr/>
          <w:p>
            <w:pPr>
              <w:pStyle w:val="Compact"/>
              <w:jc w:val="right"/>
            </w:pPr>
            <w:r>
              <w:t xml:space="preserve">9</w:t>
            </w:r>
          </w:p>
        </w:tc>
        <w:tc>
          <w:tcPr/>
          <w:p>
            <w:pPr>
              <w:pStyle w:val="Compact"/>
              <w:jc w:val="right"/>
            </w:pPr>
            <w:r>
              <w:t xml:space="preserve">9.5%</w:t>
            </w:r>
          </w:p>
        </w:tc>
      </w:tr>
      <w:tr>
        <w:tc>
          <w:tcPr/>
          <w:p>
            <w:pPr>
              <w:pStyle w:val="Compact"/>
              <w:jc w:val="left"/>
            </w:pPr>
            <w:r>
              <w:t xml:space="preserve">Total</w:t>
            </w:r>
          </w:p>
        </w:tc>
        <w:tc>
          <w:tcPr/>
          <w:p>
            <w:pPr>
              <w:pStyle w:val="Compact"/>
              <w:jc w:val="right"/>
            </w:pPr>
            <w:r>
              <w:t xml:space="preserve">95</w:t>
            </w:r>
          </w:p>
        </w:tc>
        <w:tc>
          <w:tcPr/>
          <w:p>
            <w:pPr>
              <w:pStyle w:val="Compact"/>
              <w:jc w:val="right"/>
            </w:pPr>
            <w:r>
              <w:t xml:space="preserve">100.0%</w:t>
            </w:r>
          </w:p>
        </w:tc>
      </w:tr>
    </w:tbl>
    <w:bookmarkEnd w:id="40"/>
    <w:p>
      <w:pPr>
        <w:pStyle w:val="Corpodetexto"/>
      </w:pPr>
      <w:r>
        <w:t xml:space="preserve">A</w:t>
      </w:r>
      <w:r>
        <w:t xml:space="preserve"> </w:t>
      </w:r>
      <w:hyperlink w:anchor="tbl-vara">
        <w:r>
          <w:rPr>
            <w:rStyle w:val="Hyperlink"/>
          </w:rPr>
          <w:t xml:space="preserve">Tabela 9</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41" w:name="tbl-vara"/>
    <w:p>
      <w:pPr>
        <w:pStyle w:val="TableCaption"/>
      </w:pPr>
      <w:r>
        <w:t xml:space="preserve">Tabela 9: Quantidade de processos por vara</w:t>
      </w:r>
    </w:p>
    <w:tbl>
      <w:tblPr>
        <w:tblStyle w:val="Table"/>
        <w:tblW w:type="pct" w:w="5000"/>
        <w:tblLook w:firstRow="1" w:lastRow="0" w:firstColumn="0" w:lastColumn="0" w:noHBand="0" w:noVBand="0" w:val="0020"/>
        <w:jc w:val="start"/>
        <w:tblCaption w:val="Tabela 9: Quantidade de processos por vara"/>
      </w:tblPr>
      <w:tblGrid>
        <w:gridCol w:w="7012"/>
        <w:gridCol w:w="330"/>
        <w:gridCol w:w="577"/>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1"/>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jc w:val="start"/>
      </w:tblPr>
      <w:tblGrid>
        <w:gridCol w:w="7920"/>
      </w:tblGrid>
      <w:tr>
        <w:tc>
          <w:tcPr/>
          <w:bookmarkStart w:id="45" w:name="fig-no-tempo"/>
          <w:p>
            <w:pPr>
              <w:jc w:val="center"/>
            </w:pPr>
            <w:r>
              <w:drawing>
                <wp:inline>
                  <wp:extent cx="5969000" cy="3410857"/>
                  <wp:effectExtent b="0" l="0" r="0" t="0"/>
                  <wp:docPr descr="" title="" id="43" name="Picture"/>
                  <a:graphic>
                    <a:graphicData uri="http://schemas.openxmlformats.org/drawingml/2006/picture">
                      <pic:pic>
                        <pic:nvPicPr>
                          <pic:cNvPr descr="relatorio_files/figure-docx/fig-no-tempo-1.png" id="44" name="Picture"/>
                          <pic:cNvPicPr>
                            <a:picLocks noChangeArrowheads="1" noChangeAspect="1"/>
                          </pic:cNvPicPr>
                        </pic:nvPicPr>
                        <pic:blipFill>
                          <a:blip r:embed="rId42"/>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45"/>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jc w:val="start"/>
      </w:tblPr>
      <w:tblGrid>
        <w:gridCol w:w="7920"/>
      </w:tblGrid>
      <w:tr>
        <w:tc>
          <w:tcPr/>
          <w:bookmarkStart w:id="49" w:name="fig-no-tempo-categoria"/>
          <w:p>
            <w:pPr>
              <w:jc w:val="center"/>
            </w:pPr>
            <w:r>
              <w:drawing>
                <wp:inline>
                  <wp:extent cx="5969000" cy="3410857"/>
                  <wp:effectExtent b="0" l="0" r="0" t="0"/>
                  <wp:docPr descr="" title="" id="47" name="Picture"/>
                  <a:graphic>
                    <a:graphicData uri="http://schemas.openxmlformats.org/drawingml/2006/picture">
                      <pic:pic>
                        <pic:nvPicPr>
                          <pic:cNvPr descr="relatorio_files/figure-docx/fig-no-tempo-categoria-1.png" id="48" name="Picture"/>
                          <pic:cNvPicPr>
                            <a:picLocks noChangeArrowheads="1" noChangeAspect="1"/>
                          </pic:cNvPicPr>
                        </pic:nvPicPr>
                        <pic:blipFill>
                          <a:blip r:embed="rId46"/>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49"/>
        </w:tc>
      </w:tr>
    </w:tbl>
    <w:p>
      <w:pPr>
        <w:pStyle w:val="Corpodetexto"/>
      </w:pPr>
      <w:r>
        <w:t xml:space="preserve">A</w:t>
      </w:r>
      <w:r>
        <w:t xml:space="preserve"> </w:t>
      </w:r>
      <w:hyperlink w:anchor="tbl-resultado">
        <w:r>
          <w:rPr>
            <w:rStyle w:val="Hyperlink"/>
          </w:rPr>
          <w:t xml:space="preserve">Tabela 10</w:t>
        </w:r>
      </w:hyperlink>
      <w:r>
        <w:t xml:space="preserve"> </w:t>
      </w:r>
      <w:r>
        <w:t xml:space="preserve">mostra os resultados dos processos por categoria, excluindo os acordos. Nas últimas linha e coluna, são apresentadas as contagens e proporções marginais. A proporção de casos extintos observada é mais alta do que o comum em análises de processos do TJSP. A taxa de procedência em anulatórias (considerando casos procedentes e parcialmente procedentes e excluindo acordos do denominador) é de 44% quando considerados os casos da Unimed. Excluídos os casos da Unimed, a taxa de procedência cai para 17%, conforme indicado na</w:t>
      </w:r>
      <w:r>
        <w:t xml:space="preserve"> </w:t>
      </w:r>
      <w:hyperlink w:anchor="tbl-resultado-unimed">
        <w:r>
          <w:rPr>
            <w:rStyle w:val="Hyperlink"/>
          </w:rPr>
          <w:t xml:space="preserve">Tabela 13</w:t>
        </w:r>
      </w:hyperlink>
      <w:r>
        <w:t xml:space="preserve">.</w:t>
      </w:r>
    </w:p>
    <w:bookmarkStart w:id="50" w:name="tbl-resultado"/>
    <w:p>
      <w:pPr>
        <w:pStyle w:val="TableCaption"/>
      </w:pPr>
      <w:r>
        <w:t xml:space="preserve">Tabela 10: Resultados dos processos por categoria, excluindo acordos</w:t>
      </w:r>
    </w:p>
    <w:tbl>
      <w:tblPr>
        <w:tblStyle w:val="Table"/>
        <w:tblW w:type="pct" w:w="5000"/>
        <w:tblLook w:firstRow="1" w:lastRow="0" w:firstColumn="0" w:lastColumn="0" w:noHBand="0" w:noVBand="0" w:val="0020"/>
        <w:jc w:val="start"/>
        <w:tblCaption w:val="Tabela 10: Resultados dos processos por categoria, excluindo acordos"/>
      </w:tblPr>
      <w:tblGrid>
        <w:gridCol w:w="1440"/>
        <w:gridCol w:w="1200"/>
        <w:gridCol w:w="1560"/>
        <w:gridCol w:w="1080"/>
        <w:gridCol w:w="1320"/>
        <w:gridCol w:w="132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(6%)</w:t>
            </w:r>
          </w:p>
        </w:tc>
        <w:tc>
          <w:tcPr/>
          <w:p>
            <w:pPr>
              <w:pStyle w:val="Compact"/>
              <w:jc w:val="left"/>
            </w:pPr>
            <w:r>
              <w:t xml:space="preserve">46 (49%)</w:t>
            </w:r>
          </w:p>
        </w:tc>
        <w:tc>
          <w:tcPr/>
          <w:p>
            <w:pPr>
              <w:pStyle w:val="Compact"/>
              <w:jc w:val="left"/>
            </w:pPr>
            <w:r>
              <w:t xml:space="preserve">16 (17%)</w:t>
            </w:r>
          </w:p>
        </w:tc>
        <w:tc>
          <w:tcPr/>
          <w:p>
            <w:pPr>
              <w:pStyle w:val="Compact"/>
              <w:jc w:val="left"/>
            </w:pPr>
            <w:r>
              <w:t xml:space="preserve">25 (27%)</w:t>
            </w:r>
          </w:p>
        </w:tc>
        <w:tc>
          <w:tcPr/>
          <w:p>
            <w:pPr>
              <w:pStyle w:val="Compact"/>
              <w:jc w:val="left"/>
            </w:pPr>
            <w:r>
              <w:t xml:space="preserve">93 (38%)</w:t>
            </w:r>
          </w:p>
        </w:tc>
      </w:tr>
      <w:tr>
        <w:tc>
          <w:tcPr/>
          <w:p>
            <w:pPr>
              <w:pStyle w:val="Compact"/>
              <w:jc w:val="left"/>
            </w:pPr>
            <w:r>
              <w:t xml:space="preserve">Cautelar</w:t>
            </w:r>
          </w:p>
        </w:tc>
        <w:tc>
          <w:tcPr/>
          <w:p>
            <w:pPr>
              <w:pStyle w:val="Compact"/>
              <w:jc w:val="left"/>
            </w:pPr>
            <w:r>
              <w:t xml:space="preserve">40 (74%)</w:t>
            </w:r>
          </w:p>
        </w:tc>
        <w:tc>
          <w:tcPr/>
          <w:p>
            <w:pPr>
              <w:pStyle w:val="Compact"/>
              <w:jc w:val="left"/>
            </w:pPr>
            <w:r>
              <w:t xml:space="preserve">10 (19%)</w:t>
            </w:r>
          </w:p>
        </w:tc>
        <w:tc>
          <w:tcPr/>
          <w:p>
            <w:pPr>
              <w:pStyle w:val="Compact"/>
              <w:jc w:val="left"/>
            </w:pPr>
            <w:r>
              <w:t xml:space="preserve">0 (0%)</w:t>
            </w:r>
          </w:p>
        </w:tc>
        <w:tc>
          <w:tcPr/>
          <w:p>
            <w:pPr>
              <w:pStyle w:val="Compact"/>
              <w:jc w:val="left"/>
            </w:pPr>
            <w:r>
              <w:t xml:space="preserve">4 (7%)</w:t>
            </w:r>
          </w:p>
        </w:tc>
        <w:tc>
          <w:tcPr/>
          <w:p>
            <w:pPr>
              <w:pStyle w:val="Compact"/>
              <w:jc w:val="left"/>
            </w:pPr>
            <w:r>
              <w:t xml:space="preserve">54 (22%)</w:t>
            </w:r>
          </w:p>
        </w:tc>
      </w:tr>
      <w:tr>
        <w:tc>
          <w:tcPr/>
          <w:p>
            <w:pPr>
              <w:pStyle w:val="Compact"/>
              <w:jc w:val="left"/>
            </w:pPr>
            <w:r>
              <w:t xml:space="preserve">Convencao</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(19%)</w:t>
            </w:r>
          </w:p>
        </w:tc>
      </w:tr>
      <w:tr>
        <w:tc>
          <w:tcPr/>
          <w:p>
            <w:pPr>
              <w:pStyle w:val="Compact"/>
              <w:jc w:val="left"/>
            </w:pPr>
            <w:r>
              <w:t xml:space="preserve">Cumprimento</w:t>
            </w:r>
          </w:p>
        </w:tc>
        <w:tc>
          <w:tcPr/>
          <w:p>
            <w:pPr>
              <w:pStyle w:val="Compact"/>
              <w:jc w:val="left"/>
            </w:pPr>
            <w:r>
              <w:t xml:space="preserve">44 (98%)</w:t>
            </w:r>
          </w:p>
        </w:tc>
        <w:tc>
          <w:tcPr/>
          <w:p>
            <w:pPr>
              <w:pStyle w:val="Compact"/>
              <w:jc w:val="left"/>
            </w:pPr>
            <w:r>
              <w:t xml:space="preserve">0 (0%)</w:t>
            </w:r>
          </w:p>
        </w:tc>
        <w:tc>
          <w:tcPr/>
          <w:p>
            <w:pPr>
              <w:pStyle w:val="Compact"/>
              <w:jc w:val="left"/>
            </w:pPr>
            <w:r>
              <w:t xml:space="preserve">1 (2%)</w:t>
            </w:r>
          </w:p>
        </w:tc>
        <w:tc>
          <w:tcPr/>
          <w:p>
            <w:pPr>
              <w:pStyle w:val="Compact"/>
              <w:jc w:val="left"/>
            </w:pPr>
            <w:r>
              <w:t xml:space="preserve">0 (0%)</w:t>
            </w:r>
          </w:p>
        </w:tc>
        <w:tc>
          <w:tcPr/>
          <w:p>
            <w:pPr>
              <w:pStyle w:val="Compact"/>
              <w:jc w:val="left"/>
            </w:pPr>
            <w:r>
              <w:t xml:space="preserve">45 (18%)</w:t>
            </w:r>
          </w:p>
        </w:tc>
      </w:tr>
      <w:tr>
        <w:tc>
          <w:tcPr/>
          <w:p>
            <w:pPr>
              <w:pStyle w:val="Compact"/>
              <w:jc w:val="left"/>
            </w:pPr>
            <w:r>
              <w:t xml:space="preserve">Instauracao</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(100%)</w:t>
            </w:r>
          </w:p>
        </w:tc>
        <w:tc>
          <w:tcPr/>
          <w:p>
            <w:pPr>
              <w:pStyle w:val="Compact"/>
              <w:jc w:val="left"/>
            </w:pPr>
            <w:r>
              <w:t xml:space="preserve">8 (3%)</w:t>
            </w:r>
          </w:p>
        </w:tc>
      </w:tr>
      <w:tr>
        <w:tc>
          <w:tcPr/>
          <w:p>
            <w:pPr>
              <w:pStyle w:val="Compact"/>
              <w:jc w:val="left"/>
            </w:pPr>
            <w:r>
              <w:t xml:space="preserve">Total</w:t>
            </w:r>
          </w:p>
        </w:tc>
        <w:tc>
          <w:tcPr/>
          <w:p>
            <w:pPr>
              <w:pStyle w:val="Compact"/>
              <w:jc w:val="left"/>
            </w:pPr>
            <w:r>
              <w:t xml:space="preserve">124 (50%)</w:t>
            </w:r>
          </w:p>
        </w:tc>
        <w:tc>
          <w:tcPr/>
          <w:p>
            <w:pPr>
              <w:pStyle w:val="Compact"/>
              <w:jc w:val="left"/>
            </w:pPr>
            <w:r>
              <w:t xml:space="preserve">57 (23%)</w:t>
            </w:r>
          </w:p>
        </w:tc>
        <w:tc>
          <w:tcPr/>
          <w:p>
            <w:pPr>
              <w:pStyle w:val="Compact"/>
              <w:jc w:val="left"/>
            </w:pPr>
            <w:r>
              <w:t xml:space="preserve">22 (9%)</w:t>
            </w:r>
          </w:p>
        </w:tc>
        <w:tc>
          <w:tcPr/>
          <w:p>
            <w:pPr>
              <w:pStyle w:val="Compact"/>
              <w:jc w:val="left"/>
            </w:pPr>
            <w:r>
              <w:t xml:space="preserve">43 (17%)</w:t>
            </w:r>
          </w:p>
        </w:tc>
        <w:tc>
          <w:tcPr/>
          <w:p>
            <w:pPr>
              <w:pStyle w:val="Compact"/>
              <w:jc w:val="left"/>
            </w:pPr>
            <w:r>
              <w:t xml:space="preserve">289 (100%)</w:t>
            </w:r>
          </w:p>
        </w:tc>
      </w:tr>
    </w:tbl>
    <w:bookmarkEnd w:id="50"/>
    <w:p>
      <w:pPr>
        <w:pStyle w:val="Corpodetexto"/>
      </w:pPr>
      <w:r>
        <w:t xml:space="preserve">A partir da</w:t>
      </w:r>
      <w:r>
        <w:t xml:space="preserve"> </w:t>
      </w:r>
      <w:hyperlink w:anchor="tbl-resultado">
        <w:r>
          <w:rPr>
            <w:rStyle w:val="Hyperlink"/>
          </w:rPr>
          <w:t xml:space="preserve">Tabela 10</w:t>
        </w:r>
      </w:hyperlink>
      <w:r>
        <w:t xml:space="preserve">, é importante colocar um comentário sobre o</w:t>
      </w:r>
      <w:r>
        <w:t xml:space="preserve"> </w:t>
      </w:r>
      <w:r>
        <w:rPr>
          <w:bCs/>
          <w:b/>
        </w:rPr>
        <w:t xml:space="preserve">viés de seleção em decisões judiciais</w:t>
      </w:r>
      <w:r>
        <w:t xml:space="preserve"> </w:t>
      </w:r>
      <w:r>
        <w:t xml:space="preserve">(Priest e Klein 1984)</w:t>
      </w:r>
      <w:r>
        <w:t xml:space="preserve">. Os processos que se manifestam no judiciário (por exemplo, ações de anulação de decisão arbitral) são uma amostra de todos os conflitos arbitrais, já que apenas uma parte dos casos vai para o judiciário. No entanto, essa amostra não é aleatória, já que a as probabilidades de dois caso irem ao judiciário após decisão arbitral não são as mesmas. Um caso tem maior probabilidade de se manifestar no judiciário se i) as partes têm grandes divergências sobre suas visões individuais da discussão e ii) se, do ponto de vista monetário, continuar a disputa vale à pena.</w:t>
      </w:r>
    </w:p>
    <w:p>
      <w:pPr>
        <w:pStyle w:val="Corpodetexto"/>
      </w:pPr>
      <w:r>
        <w:t xml:space="preserve">A existência de um mecanismo de seleção na criação de novos casos no judiciário serve para relativizar as análises de taxas de favorabilidade. Um importante resultado de</w:t>
      </w:r>
      <w:r>
        <w:t xml:space="preserve"> </w:t>
      </w:r>
      <w:r>
        <w:t xml:space="preserve">Priest e Klein (1984)</w:t>
      </w:r>
      <w:r>
        <w:t xml:space="preserve"> </w:t>
      </w:r>
      <w:r>
        <w:t xml:space="preserve">é que, considerando algumas premissas do sistema judiciário (como simetria de informação e existência de custas judiciais),</w:t>
      </w:r>
      <w:r>
        <w:t xml:space="preserve"> </w:t>
      </w:r>
      <w:r>
        <w:rPr>
          <w:bCs/>
          <w:b/>
        </w:rPr>
        <w:t xml:space="preserve">a taxa de decisões favoráveis no judiciário é diferente da probabilidade de reforma da decisão arbitral</w:t>
      </w:r>
      <w:r>
        <w:t xml:space="preserve">. Ou seja, as taxas de 44% e 17% (retirando Unimed) não devem ser interpretadas como a probabilidade de reverter uma decisão arbitral no judiciário.</w:t>
      </w:r>
    </w:p>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type="pct" w:w="5000"/>
        <w:tblLook w:firstRow="0" w:lastRow="0" w:firstColumn="0" w:lastColumn="0" w:noHBand="0" w:noVBand="0" w:val="0000"/>
        <w:jc w:val="start"/>
      </w:tblPr>
      <w:tblGrid>
        <w:gridCol w:w="7920"/>
      </w:tblGrid>
      <w:tr>
        <w:tc>
          <w:tcPr/>
          <w:bookmarkStart w:id="54" w:name="fig-resultado-vara"/>
          <w:p>
            <w:pPr>
              <w:jc w:val="center"/>
            </w:pPr>
            <w:r>
              <w:drawing>
                <wp:inline>
                  <wp:extent cx="5969000" cy="2984500"/>
                  <wp:effectExtent b="0" l="0" r="0" t="0"/>
                  <wp:docPr descr="" title="" id="52" name="Picture"/>
                  <a:graphic>
                    <a:graphicData uri="http://schemas.openxmlformats.org/drawingml/2006/picture">
                      <pic:pic>
                        <pic:nvPicPr>
                          <pic:cNvPr descr="relatorio_files/figure-docx/fig-resultado-vara-1.png" id="53" name="Picture"/>
                          <pic:cNvPicPr>
                            <a:picLocks noChangeArrowheads="1" noChangeAspect="1"/>
                          </pic:cNvPicPr>
                        </pic:nvPicPr>
                        <pic:blipFill>
                          <a:blip r:embed="rId51"/>
                          <a:stretch>
                            <a:fillRect/>
                          </a:stretch>
                        </pic:blipFill>
                        <pic:spPr bwMode="auto">
                          <a:xfrm>
                            <a:off x="0" y="0"/>
                            <a:ext cx="5969000" cy="298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54"/>
        </w:tc>
      </w:tr>
    </w:tbl>
    <w:p>
      <w:pPr>
        <w:pStyle w:val="Corpodetexto"/>
      </w:pPr>
      <w:r>
        <w:t xml:space="preserve">Finalmente, a</w:t>
      </w:r>
      <w:r>
        <w:t xml:space="preserve"> </w:t>
      </w:r>
      <w:hyperlink w:anchor="tbl-tempo">
        <w:r>
          <w:rPr>
            <w:rStyle w:val="Hyperlink"/>
          </w:rPr>
          <w:t xml:space="preserve">Tabela 11</w:t>
        </w:r>
      </w:hyperlink>
      <w:r>
        <w:t xml:space="preserve"> </w:t>
      </w:r>
      <w:r>
        <w:t xml:space="preserve">mostra os tempos médios e medianos, geral e por categoria. Os processos mais longos são os de convenção arbitral, com mediana de quase um ano. Já os processos mais curtos são os de anulação, com mediana de aproximadamente seis meses.</w:t>
      </w:r>
    </w:p>
    <w:bookmarkStart w:id="55" w:name="tbl-tempo"/>
    <w:p>
      <w:pPr>
        <w:pStyle w:val="TableCaption"/>
      </w:pPr>
      <w:r>
        <w:t xml:space="preserve">Tabela 11: Estatísticas descritivas dos tempos dos processos</w:t>
      </w:r>
    </w:p>
    <w:tbl>
      <w:tblPr>
        <w:tblStyle w:val="Table"/>
        <w:tblW w:type="auto" w:w="0"/>
        <w:tblLook w:firstRow="1" w:lastRow="0" w:firstColumn="0" w:lastColumn="0" w:noHBand="0" w:noVBand="0" w:val="0020"/>
        <w:jc w:val="start"/>
        <w:tblCaption w:val="Tabela 11: Estatísticas descritivas dos tempos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55"/>
    <w:bookmarkStart w:id="81" w:name="questões-adicionais"/>
    <w:p>
      <w:pPr>
        <w:pStyle w:val="Ttulo2"/>
      </w:pPr>
      <w:r>
        <w:t xml:space="preserve">Questões adicionais</w:t>
      </w:r>
    </w:p>
    <w:p>
      <w:pPr>
        <w:pStyle w:val="FirstParagraph"/>
      </w:pPr>
      <w:r>
        <w:t xml:space="preserve">Após a revisão das análises, um novo conjunto de perguntas foi gerado. As perguntas foram respondidas com os gráficos e tabelas que seguem.</w:t>
      </w:r>
    </w:p>
    <w:bookmarkStart w:id="63" w:name="X87b870c956ec96f2134761dff0f0cdc51a1affa"/>
    <w:p>
      <w:pPr>
        <w:pStyle w:val="Ttulo3"/>
      </w:pPr>
      <w:r>
        <w:t xml:space="preserve">Como ficam as estatísticas retirando casos envolvendo a Unimed?</w:t>
      </w:r>
    </w:p>
    <w:p>
      <w:pPr>
        <w:pStyle w:val="FirstParagraph"/>
      </w:pPr>
      <w:r>
        <w:t xml:space="preserve">Quando analisamos processos relacionados à arbitragem no judiciário, é importante levar em conta a câmara arbitral de origem no processo. Infelizmente, essa informação não é pública, porém, em alguns casos, é possível identificar a câmara de origem através do nome da parte. Esse é o caso da Unimed, que segue um rito arbitral muito diferente das câmaras de arbitragem comuns. Por seguir um fluxo diferente, é de interesse recalcular as principais estatísticas do estudo retirando os 58 casos da Unimed.</w:t>
      </w:r>
    </w:p>
    <w:p>
      <w:pPr>
        <w:pStyle w:val="Corpodetexto"/>
      </w:pPr>
      <w:r>
        <w:t xml:space="preserve">A</w:t>
      </w:r>
      <w:r>
        <w:t xml:space="preserve"> </w:t>
      </w:r>
      <w:hyperlink w:anchor="tbl-valor-anulatoria-unimed">
        <w:r>
          <w:rPr>
            <w:rStyle w:val="Hyperlink"/>
          </w:rPr>
          <w:t xml:space="preserve">Tabela 12</w:t>
        </w:r>
      </w:hyperlink>
      <w:r>
        <w:t xml:space="preserve"> </w:t>
      </w:r>
      <w:r>
        <w:t xml:space="preserve">mostra a contagem de processos por faixa de valores de causa nas anulatórias, retirando casos da Unimed. Quase um terço dos processos estão na faixa de 100 mil reais a 10 milhões, uma concentração parecida quando comparada</w:t>
      </w:r>
      <w:r>
        <w:t xml:space="preserve"> </w:t>
      </w:r>
      <w:hyperlink w:anchor="tbl-valor">
        <w:r>
          <w:rPr>
            <w:rStyle w:val="Hyperlink"/>
          </w:rPr>
          <w:t xml:space="preserve">Tabela 7</w:t>
        </w:r>
      </w:hyperlink>
      <w:r>
        <w:t xml:space="preserve">.</w:t>
      </w:r>
    </w:p>
    <w:bookmarkStart w:id="56" w:name="tbl-valor-anulatoria-unimed"/>
    <w:p>
      <w:pPr>
        <w:pStyle w:val="TableCaption"/>
      </w:pPr>
      <w:r>
        <w:t xml:space="preserve">Tabela 12: Faixas de valores nas anulatórias retirando casos da Unimed</w:t>
      </w:r>
    </w:p>
    <w:tbl>
      <w:tblPr>
        <w:tblStyle w:val="Table"/>
        <w:tblW w:type="auto" w:w="0"/>
        <w:tblLook w:firstRow="1" w:lastRow="0" w:firstColumn="0" w:lastColumn="0" w:noHBand="0" w:noVBand="0" w:val="0020"/>
        <w:jc w:val="start"/>
        <w:tblCaption w:val="Tabela 12: Faixas de valores nas anulatórias retirando casos da Unimed"/>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13</w:t>
            </w:r>
          </w:p>
        </w:tc>
        <w:tc>
          <w:tcPr/>
          <w:p>
            <w:pPr>
              <w:pStyle w:val="Compact"/>
              <w:jc w:val="right"/>
            </w:pPr>
            <w:r>
              <w:t xml:space="preserve">35.1%</w:t>
            </w:r>
          </w:p>
        </w:tc>
      </w:tr>
      <w:tr>
        <w:tc>
          <w:tcPr/>
          <w:p>
            <w:pPr>
              <w:pStyle w:val="Compact"/>
              <w:jc w:val="left"/>
            </w:pPr>
            <w:r>
              <w:t xml:space="preserve">Entre R$ 10.000 e R$ 100.000</w:t>
            </w:r>
          </w:p>
        </w:tc>
        <w:tc>
          <w:tcPr/>
          <w:p>
            <w:pPr>
              <w:pStyle w:val="Compact"/>
              <w:jc w:val="right"/>
            </w:pPr>
            <w:r>
              <w:t xml:space="preserve">8</w:t>
            </w:r>
          </w:p>
        </w:tc>
        <w:tc>
          <w:tcPr/>
          <w:p>
            <w:pPr>
              <w:pStyle w:val="Compact"/>
              <w:jc w:val="right"/>
            </w:pPr>
            <w:r>
              <w:t xml:space="preserve">21.6%</w:t>
            </w:r>
          </w:p>
        </w:tc>
      </w:tr>
      <w:tr>
        <w:tc>
          <w:tcPr/>
          <w:p>
            <w:pPr>
              <w:pStyle w:val="Compact"/>
              <w:jc w:val="left"/>
            </w:pPr>
            <w:r>
              <w:t xml:space="preserve">Entre R$ 100.000 e R$ 1 milhão</w:t>
            </w:r>
          </w:p>
        </w:tc>
        <w:tc>
          <w:tcPr/>
          <w:p>
            <w:pPr>
              <w:pStyle w:val="Compact"/>
              <w:jc w:val="right"/>
            </w:pPr>
            <w:r>
              <w:t xml:space="preserve">7</w:t>
            </w:r>
          </w:p>
        </w:tc>
        <w:tc>
          <w:tcPr/>
          <w:p>
            <w:pPr>
              <w:pStyle w:val="Compact"/>
              <w:jc w:val="right"/>
            </w:pPr>
            <w:r>
              <w:t xml:space="preserve">18.9%</w:t>
            </w:r>
          </w:p>
        </w:tc>
      </w:tr>
      <w:tr>
        <w:tc>
          <w:tcPr/>
          <w:p>
            <w:pPr>
              <w:pStyle w:val="Compact"/>
              <w:jc w:val="left"/>
            </w:pPr>
            <w:r>
              <w:t xml:space="preserve">Entre R$ 1 milhão e R$ 10 milhões</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R$ 10 milhões ou mais</w:t>
            </w:r>
          </w:p>
        </w:tc>
        <w:tc>
          <w:tcPr/>
          <w:p>
            <w:pPr>
              <w:pStyle w:val="Compact"/>
              <w:jc w:val="right"/>
            </w:pPr>
            <w:r>
              <w:t xml:space="preserve">5</w:t>
            </w:r>
          </w:p>
        </w:tc>
        <w:tc>
          <w:tcPr/>
          <w:p>
            <w:pPr>
              <w:pStyle w:val="Compact"/>
              <w:jc w:val="right"/>
            </w:pPr>
            <w:r>
              <w:t xml:space="preserve">13.5%</w:t>
            </w:r>
          </w:p>
        </w:tc>
      </w:tr>
      <w:tr>
        <w:tc>
          <w:tcPr/>
          <w:p>
            <w:pPr>
              <w:pStyle w:val="Compact"/>
              <w:jc w:val="left"/>
            </w:pPr>
            <w:r>
              <w:t xml:space="preserve">Total</w:t>
            </w:r>
          </w:p>
        </w:tc>
        <w:tc>
          <w:tcPr/>
          <w:p>
            <w:pPr>
              <w:pStyle w:val="Compact"/>
              <w:jc w:val="right"/>
            </w:pPr>
            <w:r>
              <w:t xml:space="preserve">37</w:t>
            </w:r>
          </w:p>
        </w:tc>
        <w:tc>
          <w:tcPr/>
          <w:p>
            <w:pPr>
              <w:pStyle w:val="Compact"/>
              <w:jc w:val="right"/>
            </w:pPr>
            <w:r>
              <w:t xml:space="preserve">100.0%</w:t>
            </w:r>
          </w:p>
        </w:tc>
      </w:tr>
    </w:tbl>
    <w:bookmarkEnd w:id="56"/>
    <w:p>
      <w:pPr>
        <w:pStyle w:val="Corpodetexto"/>
      </w:pPr>
      <w:r>
        <w:t xml:space="preserve">A</w:t>
      </w:r>
      <w:r>
        <w:t xml:space="preserve"> </w:t>
      </w:r>
      <w:hyperlink w:anchor="tbl-resultado-unimed">
        <w:r>
          <w:rPr>
            <w:rStyle w:val="Hyperlink"/>
          </w:rPr>
          <w:t xml:space="preserve">Tabela 13</w:t>
        </w:r>
      </w:hyperlink>
      <w:r>
        <w:t xml:space="preserve"> </w:t>
      </w:r>
      <w:r>
        <w:t xml:space="preserve">mostra as proporções de resultados em processos de anulação retirando os casos da Unimed. A taxa de casos favoráveis (soma de procedentes e parcialmente procedentes excluindo acordos) é significativamente menor, de 17%.</w:t>
      </w:r>
    </w:p>
    <w:bookmarkStart w:id="57" w:name="tbl-resultado-unimed"/>
    <w:p>
      <w:pPr>
        <w:pStyle w:val="TableCaption"/>
      </w:pPr>
      <w:r>
        <w:t xml:space="preserve">Tabela 13: Resultados dos processos por categoria, excluindo acordos e casos da Unimed</w:t>
      </w:r>
    </w:p>
    <w:tbl>
      <w:tblPr>
        <w:tblStyle w:val="Table"/>
        <w:tblW w:type="auto" w:w="0"/>
        <w:tblLook w:firstRow="1" w:lastRow="0" w:firstColumn="0" w:lastColumn="0" w:noHBand="0" w:noVBand="0" w:val="0020"/>
        <w:jc w:val="start"/>
        <w:tblCaption w:val="Tabela 13: Resultados dos processos por categoria, excluindo acordos e casos da Unimed"/>
      </w:tblPr>
      <w:tblGrid>
        <w:gridCol w:w="1320"/>
        <w:gridCol w:w="1320"/>
        <w:gridCol w:w="1320"/>
        <w:gridCol w:w="1320"/>
        <w:gridCol w:w="1320"/>
        <w:gridCol w:w="132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(17%)</w:t>
            </w:r>
          </w:p>
        </w:tc>
        <w:tc>
          <w:tcPr/>
          <w:p>
            <w:pPr>
              <w:pStyle w:val="Compact"/>
              <w:jc w:val="left"/>
            </w:pPr>
            <w:r>
              <w:t xml:space="preserve">23 (66%)</w:t>
            </w:r>
          </w:p>
        </w:tc>
        <w:tc>
          <w:tcPr/>
          <w:p>
            <w:pPr>
              <w:pStyle w:val="Compact"/>
              <w:jc w:val="left"/>
            </w:pPr>
            <w:r>
              <w:t xml:space="preserve">2 (6%)</w:t>
            </w:r>
          </w:p>
        </w:tc>
        <w:tc>
          <w:tcPr/>
          <w:p>
            <w:pPr>
              <w:pStyle w:val="Compact"/>
              <w:jc w:val="left"/>
            </w:pPr>
            <w:r>
              <w:t xml:space="preserve">4 (11%)</w:t>
            </w:r>
          </w:p>
        </w:tc>
        <w:tc>
          <w:tcPr/>
          <w:p>
            <w:pPr>
              <w:pStyle w:val="Compact"/>
              <w:jc w:val="left"/>
            </w:pPr>
            <w:r>
              <w:t xml:space="preserve">35 (19%)</w:t>
            </w:r>
          </w:p>
        </w:tc>
      </w:tr>
      <w:tr>
        <w:tc>
          <w:tcPr/>
          <w:p>
            <w:pPr>
              <w:pStyle w:val="Compact"/>
              <w:jc w:val="left"/>
            </w:pPr>
            <w:r>
              <w:t xml:space="preserve">Cautelar</w:t>
            </w:r>
          </w:p>
        </w:tc>
        <w:tc>
          <w:tcPr/>
          <w:p>
            <w:pPr>
              <w:pStyle w:val="Compact"/>
              <w:jc w:val="left"/>
            </w:pPr>
            <w:r>
              <w:t xml:space="preserve">40 (74%)</w:t>
            </w:r>
          </w:p>
        </w:tc>
        <w:tc>
          <w:tcPr/>
          <w:p>
            <w:pPr>
              <w:pStyle w:val="Compact"/>
              <w:jc w:val="left"/>
            </w:pPr>
            <w:r>
              <w:t xml:space="preserve">10 (19%)</w:t>
            </w:r>
          </w:p>
        </w:tc>
        <w:tc>
          <w:tcPr/>
          <w:p>
            <w:pPr>
              <w:pStyle w:val="Compact"/>
              <w:jc w:val="left"/>
            </w:pPr>
            <w:r>
              <w:t xml:space="preserve">0 (0%)</w:t>
            </w:r>
          </w:p>
        </w:tc>
        <w:tc>
          <w:tcPr/>
          <w:p>
            <w:pPr>
              <w:pStyle w:val="Compact"/>
              <w:jc w:val="left"/>
            </w:pPr>
            <w:r>
              <w:t xml:space="preserve">4 (7%)</w:t>
            </w:r>
          </w:p>
        </w:tc>
        <w:tc>
          <w:tcPr/>
          <w:p>
            <w:pPr>
              <w:pStyle w:val="Compact"/>
              <w:jc w:val="left"/>
            </w:pPr>
            <w:r>
              <w:t xml:space="preserve">54 (29%)</w:t>
            </w:r>
          </w:p>
        </w:tc>
      </w:tr>
      <w:tr>
        <w:tc>
          <w:tcPr/>
          <w:p>
            <w:pPr>
              <w:pStyle w:val="Compact"/>
              <w:jc w:val="left"/>
            </w:pPr>
            <w:r>
              <w:t xml:space="preserve">Convencao</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(24%)</w:t>
            </w:r>
          </w:p>
        </w:tc>
      </w:tr>
      <w:tr>
        <w:tc>
          <w:tcPr/>
          <w:p>
            <w:pPr>
              <w:pStyle w:val="Compact"/>
              <w:jc w:val="left"/>
            </w:pPr>
            <w:r>
              <w:t xml:space="preserve">Cumprimento</w:t>
            </w:r>
          </w:p>
        </w:tc>
        <w:tc>
          <w:tcPr/>
          <w:p>
            <w:pPr>
              <w:pStyle w:val="Compact"/>
              <w:jc w:val="left"/>
            </w:pPr>
            <w:r>
              <w:t xml:space="preserve">44 (98%)</w:t>
            </w:r>
          </w:p>
        </w:tc>
        <w:tc>
          <w:tcPr/>
          <w:p>
            <w:pPr>
              <w:pStyle w:val="Compact"/>
              <w:jc w:val="left"/>
            </w:pPr>
            <w:r>
              <w:t xml:space="preserve">0 (0%)</w:t>
            </w:r>
          </w:p>
        </w:tc>
        <w:tc>
          <w:tcPr/>
          <w:p>
            <w:pPr>
              <w:pStyle w:val="Compact"/>
              <w:jc w:val="left"/>
            </w:pPr>
            <w:r>
              <w:t xml:space="preserve">1 (2%)</w:t>
            </w:r>
          </w:p>
        </w:tc>
        <w:tc>
          <w:tcPr/>
          <w:p>
            <w:pPr>
              <w:pStyle w:val="Compact"/>
              <w:jc w:val="left"/>
            </w:pPr>
            <w:r>
              <w:t xml:space="preserve">0 (0%)</w:t>
            </w:r>
          </w:p>
        </w:tc>
        <w:tc>
          <w:tcPr/>
          <w:p>
            <w:pPr>
              <w:pStyle w:val="Compact"/>
              <w:jc w:val="left"/>
            </w:pPr>
            <w:r>
              <w:t xml:space="preserve">45 (24%)</w:t>
            </w:r>
          </w:p>
        </w:tc>
      </w:tr>
      <w:tr>
        <w:tc>
          <w:tcPr/>
          <w:p>
            <w:pPr>
              <w:pStyle w:val="Compact"/>
              <w:jc w:val="left"/>
            </w:pPr>
            <w:r>
              <w:t xml:space="preserve">Instauracao</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(100%)</w:t>
            </w:r>
          </w:p>
        </w:tc>
        <w:tc>
          <w:tcPr/>
          <w:p>
            <w:pPr>
              <w:pStyle w:val="Compact"/>
              <w:jc w:val="left"/>
            </w:pPr>
            <w:r>
              <w:t xml:space="preserve">8 (4%)</w:t>
            </w:r>
          </w:p>
        </w:tc>
      </w:tr>
      <w:tr>
        <w:tc>
          <w:tcPr/>
          <w:p>
            <w:pPr>
              <w:pStyle w:val="Compact"/>
              <w:jc w:val="left"/>
            </w:pPr>
            <w:r>
              <w:t xml:space="preserve">Total</w:t>
            </w:r>
          </w:p>
        </w:tc>
        <w:tc>
          <w:tcPr/>
          <w:p>
            <w:pPr>
              <w:pStyle w:val="Compact"/>
              <w:jc w:val="left"/>
            </w:pPr>
            <w:r>
              <w:t xml:space="preserve">124 (66%)</w:t>
            </w:r>
          </w:p>
        </w:tc>
        <w:tc>
          <w:tcPr/>
          <w:p>
            <w:pPr>
              <w:pStyle w:val="Compact"/>
              <w:jc w:val="left"/>
            </w:pPr>
            <w:r>
              <w:t xml:space="preserve">34 (18%)</w:t>
            </w:r>
          </w:p>
        </w:tc>
        <w:tc>
          <w:tcPr/>
          <w:p>
            <w:pPr>
              <w:pStyle w:val="Compact"/>
              <w:jc w:val="left"/>
            </w:pPr>
            <w:r>
              <w:t xml:space="preserve">8 (4%)</w:t>
            </w:r>
          </w:p>
        </w:tc>
        <w:tc>
          <w:tcPr/>
          <w:p>
            <w:pPr>
              <w:pStyle w:val="Compact"/>
              <w:jc w:val="left"/>
            </w:pPr>
            <w:r>
              <w:t xml:space="preserve">22 (12%)</w:t>
            </w:r>
          </w:p>
        </w:tc>
        <w:tc>
          <w:tcPr/>
          <w:p>
            <w:pPr>
              <w:pStyle w:val="Compact"/>
              <w:jc w:val="left"/>
            </w:pPr>
            <w:r>
              <w:t xml:space="preserve">289 (100%)</w:t>
            </w:r>
          </w:p>
        </w:tc>
      </w:tr>
    </w:tbl>
    <w:bookmarkEnd w:id="57"/>
    <w:p>
      <w:pPr>
        <w:pStyle w:val="Corpodetexto"/>
      </w:pPr>
      <w:r>
        <w:t xml:space="preserve">A</w:t>
      </w:r>
      <w:r>
        <w:t xml:space="preserve"> </w:t>
      </w:r>
      <w:hyperlink w:anchor="fig-resultado-vara-unimed">
        <w:r>
          <w:rPr>
            <w:rStyle w:val="Hyperlink"/>
          </w:rPr>
          <w:t xml:space="preserve">Figura 4</w:t>
        </w:r>
      </w:hyperlink>
      <w:r>
        <w:t xml:space="preserve"> </w:t>
      </w:r>
      <w:r>
        <w:t xml:space="preserve">mostra os resultados dos processos por categoria e vara, considerando apenas as duas varas empresariais e retirando casos da Unimed. Novamente, a quantidade de processos é muito pequena para obter resultados conclusivos.</w:t>
      </w:r>
    </w:p>
    <w:tbl>
      <w:tblPr>
        <w:tblStyle w:val="Table"/>
        <w:tblW w:type="pct" w:w="5000"/>
        <w:tblLook w:firstRow="0" w:lastRow="0" w:firstColumn="0" w:lastColumn="0" w:noHBand="0" w:noVBand="0" w:val="0000"/>
        <w:jc w:val="start"/>
      </w:tblPr>
      <w:tblGrid>
        <w:gridCol w:w="7920"/>
      </w:tblGrid>
      <w:tr>
        <w:tc>
          <w:tcPr/>
          <w:bookmarkStart w:id="61" w:name="fig-resultado-vara-unimed"/>
          <w:p>
            <w:pPr>
              <w:jc w:val="center"/>
            </w:pPr>
            <w:r>
              <w:drawing>
                <wp:inline>
                  <wp:extent cx="5969000" cy="2984500"/>
                  <wp:effectExtent b="0" l="0" r="0" t="0"/>
                  <wp:docPr descr="" title="" id="59" name="Picture"/>
                  <a:graphic>
                    <a:graphicData uri="http://schemas.openxmlformats.org/drawingml/2006/picture">
                      <pic:pic>
                        <pic:nvPicPr>
                          <pic:cNvPr descr="relatorio_files/figure-docx/fig-resultado-vara-unimed-1.png" id="60" name="Picture"/>
                          <pic:cNvPicPr>
                            <a:picLocks noChangeArrowheads="1" noChangeAspect="1"/>
                          </pic:cNvPicPr>
                        </pic:nvPicPr>
                        <pic:blipFill>
                          <a:blip r:embed="rId58"/>
                          <a:stretch>
                            <a:fillRect/>
                          </a:stretch>
                        </pic:blipFill>
                        <pic:spPr bwMode="auto">
                          <a:xfrm>
                            <a:off x="0" y="0"/>
                            <a:ext cx="5969000" cy="298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Proporção dos resultados dos processos por categoria e vara, retirando casos da Unimed</w:t>
            </w:r>
          </w:p>
          <w:bookmarkEnd w:id="61"/>
        </w:tc>
      </w:tr>
    </w:tbl>
    <w:p>
      <w:pPr>
        <w:pStyle w:val="Corpodetexto"/>
      </w:pPr>
      <w:r>
        <w:t xml:space="preserve">A</w:t>
      </w:r>
      <w:r>
        <w:t xml:space="preserve"> </w:t>
      </w:r>
      <w:hyperlink w:anchor="tbl-tempo-unimed">
        <w:r>
          <w:rPr>
            <w:rStyle w:val="Hyperlink"/>
          </w:rPr>
          <w:t xml:space="preserve">Tabela 14</w:t>
        </w:r>
      </w:hyperlink>
      <w:r>
        <w:t xml:space="preserve"> </w:t>
      </w:r>
      <w:r>
        <w:t xml:space="preserve">mostra os tempos médios e medianos, geral e por categoria, retirando os casos da Unimed. Ao excluir os casos, os tempos médio e mediano das anulatórias aumentam em mais de 100 dias.</w:t>
      </w:r>
    </w:p>
    <w:bookmarkStart w:id="62" w:name="tbl-tempo-unimed"/>
    <w:p>
      <w:pPr>
        <w:pStyle w:val="TableCaption"/>
      </w:pPr>
      <w:r>
        <w:t xml:space="preserve">Tabela 14: Estatísticas descritivas dos tempos dos processos, retirando casos da Unimed</w:t>
      </w:r>
    </w:p>
    <w:tbl>
      <w:tblPr>
        <w:tblStyle w:val="Table"/>
        <w:tblW w:type="auto" w:w="0"/>
        <w:tblLook w:firstRow="1" w:lastRow="0" w:firstColumn="0" w:lastColumn="0" w:noHBand="0" w:noVBand="0" w:val="0020"/>
        <w:jc w:val="start"/>
        <w:tblCaption w:val="Tabela 14: Estatísticas descritivas dos tempos dos processos, retirando casos da Unimed"/>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Anulacao</w:t>
            </w:r>
          </w:p>
        </w:tc>
        <w:tc>
          <w:tcPr/>
          <w:p>
            <w:pPr>
              <w:pStyle w:val="Compact"/>
              <w:jc w:val="right"/>
            </w:pPr>
            <w:r>
              <w:t xml:space="preserve">37</w:t>
            </w:r>
          </w:p>
        </w:tc>
        <w:tc>
          <w:tcPr/>
          <w:p>
            <w:pPr>
              <w:pStyle w:val="Compact"/>
              <w:jc w:val="right"/>
            </w:pPr>
            <w:r>
              <w:t xml:space="preserve">386.8</w:t>
            </w:r>
          </w:p>
        </w:tc>
        <w:tc>
          <w:tcPr/>
          <w:p>
            <w:pPr>
              <w:pStyle w:val="Compact"/>
              <w:jc w:val="right"/>
            </w:pPr>
            <w:r>
              <w:t xml:space="preserve">291.0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Total</w:t>
            </w:r>
          </w:p>
        </w:tc>
        <w:tc>
          <w:tcPr/>
          <w:p>
            <w:pPr>
              <w:pStyle w:val="Compact"/>
              <w:jc w:val="right"/>
            </w:pPr>
            <w:r>
              <w:t xml:space="preserve">231</w:t>
            </w:r>
          </w:p>
        </w:tc>
        <w:tc>
          <w:tcPr/>
          <w:p>
            <w:pPr>
              <w:pStyle w:val="Compact"/>
              <w:jc w:val="right"/>
            </w:pPr>
            <w:r>
              <w:t xml:space="preserve">315.4</w:t>
            </w:r>
          </w:p>
        </w:tc>
        <w:tc>
          <w:tcPr/>
          <w:p>
            <w:pPr>
              <w:pStyle w:val="Compact"/>
              <w:jc w:val="right"/>
            </w:pPr>
            <w:r>
              <w:t xml:space="preserve">259.0</w:t>
            </w:r>
          </w:p>
        </w:tc>
      </w:tr>
    </w:tbl>
    <w:bookmarkEnd w:id="62"/>
    <w:bookmarkEnd w:id="63"/>
    <w:bookmarkStart w:id="65" w:name="X92fcf6fc05e51d960c4c267d1e3e4d3dbdb5043"/>
    <w:p>
      <w:pPr>
        <w:pStyle w:val="Ttulo3"/>
      </w:pPr>
      <w:r>
        <w:t xml:space="preserve">Qual o percentual de liminares deferidas na categoria de ação cautelar?</w:t>
      </w:r>
    </w:p>
    <w:p>
      <w:pPr>
        <w:pStyle w:val="FirstParagraph"/>
      </w:pPr>
      <w:r>
        <w:t xml:space="preserve">A base contém 63 ações cautelares, pouco mais de um quinto da base completa. A</w:t>
      </w:r>
      <w:r>
        <w:t xml:space="preserve"> </w:t>
      </w:r>
      <w:hyperlink w:anchor="tbl-cautelar-liminar">
        <w:r>
          <w:rPr>
            <w:rStyle w:val="Hyperlink"/>
          </w:rPr>
          <w:t xml:space="preserve">Tabela 15</w:t>
        </w:r>
      </w:hyperlink>
      <w:r>
        <w:t xml:space="preserve"> </w:t>
      </w:r>
      <w:r>
        <w:t xml:space="preserve">mostra os resultados das liminares nessas ações. É possível identificar que mais da metade dos casos, as liminares não são concedias. Importante destacar que, em 6 casos, a decisão liminar não foi encontrada.</w:t>
      </w:r>
    </w:p>
    <w:bookmarkStart w:id="64" w:name="tbl-cautelar-liminar"/>
    <w:p>
      <w:pPr>
        <w:pStyle w:val="TableCaption"/>
      </w:pPr>
      <w:r>
        <w:t xml:space="preserve">Tabela 15: Resultados das liminares em ações cautelares.</w:t>
      </w:r>
    </w:p>
    <w:tbl>
      <w:tblPr>
        <w:tblStyle w:val="Table"/>
        <w:tblW w:type="auto" w:w="0"/>
        <w:tblLook w:firstRow="1" w:lastRow="0" w:firstColumn="0" w:lastColumn="0" w:noHBand="0" w:noVBand="0" w:val="0020"/>
        <w:jc w:val="start"/>
        <w:tblCaption w:val="Tabela 15: Resultados das liminares em ações cautelares."/>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30</w:t>
            </w:r>
          </w:p>
        </w:tc>
        <w:tc>
          <w:tcPr/>
          <w:p>
            <w:pPr>
              <w:pStyle w:val="Compact"/>
              <w:jc w:val="right"/>
            </w:pPr>
            <w:r>
              <w:t xml:space="preserve">52.6%</w:t>
            </w:r>
          </w:p>
        </w:tc>
      </w:tr>
      <w:tr>
        <w:tc>
          <w:tcPr/>
          <w:p>
            <w:pPr>
              <w:pStyle w:val="Compact"/>
              <w:jc w:val="left"/>
            </w:pPr>
            <w:r>
              <w:t xml:space="preserve">Sim</w:t>
            </w:r>
          </w:p>
        </w:tc>
        <w:tc>
          <w:tcPr/>
          <w:p>
            <w:pPr>
              <w:pStyle w:val="Compact"/>
              <w:jc w:val="right"/>
            </w:pPr>
            <w:r>
              <w:t xml:space="preserve">20</w:t>
            </w:r>
          </w:p>
        </w:tc>
        <w:tc>
          <w:tcPr/>
          <w:p>
            <w:pPr>
              <w:pStyle w:val="Compact"/>
              <w:jc w:val="right"/>
            </w:pPr>
            <w:r>
              <w:t xml:space="preserve">35.1%</w:t>
            </w:r>
          </w:p>
        </w:tc>
      </w:tr>
      <w:tr>
        <w:tc>
          <w:tcPr/>
          <w:p>
            <w:pPr>
              <w:pStyle w:val="Compact"/>
              <w:jc w:val="left"/>
            </w:pPr>
            <w:r>
              <w:t xml:space="preserve">Parcial</w:t>
            </w:r>
          </w:p>
        </w:tc>
        <w:tc>
          <w:tcPr/>
          <w:p>
            <w:pPr>
              <w:pStyle w:val="Compact"/>
              <w:jc w:val="right"/>
            </w:pPr>
            <w:r>
              <w:t xml:space="preserve">7</w:t>
            </w:r>
          </w:p>
        </w:tc>
        <w:tc>
          <w:tcPr/>
          <w:p>
            <w:pPr>
              <w:pStyle w:val="Compact"/>
              <w:jc w:val="right"/>
            </w:pPr>
            <w:r>
              <w:t xml:space="preserve">12.3%</w:t>
            </w:r>
          </w:p>
        </w:tc>
      </w:tr>
      <w:tr>
        <w:tc>
          <w:tcPr/>
          <w:p>
            <w:pPr>
              <w:pStyle w:val="Compact"/>
              <w:jc w:val="left"/>
            </w:pPr>
            <w:r>
              <w:t xml:space="preserve">Total</w:t>
            </w:r>
          </w:p>
        </w:tc>
        <w:tc>
          <w:tcPr/>
          <w:p>
            <w:pPr>
              <w:pStyle w:val="Compact"/>
              <w:jc w:val="right"/>
            </w:pPr>
            <w:r>
              <w:t xml:space="preserve">57</w:t>
            </w:r>
          </w:p>
        </w:tc>
        <w:tc>
          <w:tcPr/>
          <w:p>
            <w:pPr>
              <w:pStyle w:val="Compact"/>
              <w:jc w:val="right"/>
            </w:pPr>
            <w:r>
              <w:t xml:space="preserve">100.0%</w:t>
            </w:r>
          </w:p>
        </w:tc>
      </w:tr>
    </w:tbl>
    <w:bookmarkEnd w:id="64"/>
    <w:bookmarkEnd w:id="65"/>
    <w:bookmarkStart w:id="68" w:name="X8ff66541b44a794cc6700bee440b07007d9a1e7"/>
    <w:p>
      <w:pPr>
        <w:pStyle w:val="Ttulo3"/>
      </w:pPr>
      <w:r>
        <w:t xml:space="preserve">Qual a média e mediana de valor para cada categoria de ação?</w:t>
      </w:r>
    </w:p>
    <w:p>
      <w:pPr>
        <w:pStyle w:val="FirstParagraph"/>
      </w:pPr>
      <w:r>
        <w:t xml:space="preserve">A</w:t>
      </w:r>
      <w:r>
        <w:t xml:space="preserve"> </w:t>
      </w:r>
      <w:hyperlink w:anchor="tbl-valor-tipo">
        <w:r>
          <w:rPr>
            <w:rStyle w:val="Hyperlink"/>
          </w:rPr>
          <w:t xml:space="preserve">Tabela 16</w:t>
        </w:r>
      </w:hyperlink>
      <w:r>
        <w:t xml:space="preserve"> </w:t>
      </w:r>
      <w:r>
        <w:t xml:space="preserve">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bookmarkStart w:id="66" w:name="tbl-valor-tipo"/>
    <w:p>
      <w:pPr>
        <w:pStyle w:val="TableCaption"/>
      </w:pPr>
      <w:r>
        <w:t xml:space="preserve">Tabela 16: Estatísticas descritivas dos valores de causa dos processos</w:t>
      </w:r>
    </w:p>
    <w:tbl>
      <w:tblPr>
        <w:tblStyle w:val="Table"/>
        <w:tblW w:type="auto" w:w="0"/>
        <w:tblLook w:firstRow="1" w:lastRow="0" w:firstColumn="0" w:lastColumn="0" w:noHBand="0" w:noVBand="0" w:val="0020"/>
        <w:jc w:val="start"/>
        <w:tblCaption w:val="Tabela 16: Estatísticas descritivas dos valores de causa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Anulacao</w:t>
            </w:r>
          </w:p>
        </w:tc>
        <w:tc>
          <w:tcPr/>
          <w:p>
            <w:pPr>
              <w:pStyle w:val="Compact"/>
              <w:jc w:val="right"/>
            </w:pPr>
            <w:r>
              <w:t xml:space="preserve">95</w:t>
            </w:r>
          </w:p>
        </w:tc>
        <w:tc>
          <w:tcPr/>
          <w:p>
            <w:pPr>
              <w:pStyle w:val="Compact"/>
              <w:jc w:val="left"/>
            </w:pPr>
            <w:r>
              <w:t xml:space="preserve">R$ 3.601.345,63</w:t>
            </w:r>
          </w:p>
        </w:tc>
        <w:tc>
          <w:tcPr/>
          <w:p>
            <w:pPr>
              <w:pStyle w:val="Compact"/>
              <w:jc w:val="left"/>
            </w:pPr>
            <w:r>
              <w:t xml:space="preserve">R$ 264.802,79</w:t>
            </w:r>
          </w:p>
        </w:tc>
      </w:tr>
      <w:tr>
        <w:tc>
          <w:tcPr/>
          <w:p>
            <w:pPr>
              <w:pStyle w:val="Compact"/>
              <w:jc w:val="left"/>
            </w:pPr>
            <w:r>
              <w:t xml:space="preserve">Convencao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289</w:t>
            </w:r>
          </w:p>
        </w:tc>
        <w:tc>
          <w:tcPr/>
          <w:p>
            <w:pPr>
              <w:pStyle w:val="Compact"/>
              <w:jc w:val="left"/>
            </w:pPr>
            <w:r>
              <w:t xml:space="preserve">R$ 3.884.973,58</w:t>
            </w:r>
          </w:p>
        </w:tc>
        <w:tc>
          <w:tcPr/>
          <w:p>
            <w:pPr>
              <w:pStyle w:val="Compact"/>
              <w:jc w:val="left"/>
            </w:pPr>
            <w:r>
              <w:t xml:space="preserve">R$ 80.355,58</w:t>
            </w:r>
          </w:p>
        </w:tc>
      </w:tr>
    </w:tbl>
    <w:bookmarkEnd w:id="66"/>
    <w:p>
      <w:pPr>
        <w:pStyle w:val="Corpodetexto"/>
      </w:pPr>
      <w:r>
        <w:t xml:space="preserve">A</w:t>
      </w:r>
      <w:r>
        <w:t xml:space="preserve"> </w:t>
      </w:r>
      <w:hyperlink w:anchor="tbl-valor-tipo-unimed">
        <w:r>
          <w:rPr>
            <w:rStyle w:val="Hyperlink"/>
          </w:rPr>
          <w:t xml:space="preserve">Tabela 17</w:t>
        </w:r>
      </w:hyperlink>
      <w:r>
        <w:t xml:space="preserve"> </w:t>
      </w:r>
      <w:r>
        <w:t xml:space="preserve">mostra as mesmas informações anteriores, mas retirando os casos da Unimed. É interessante notar que, no caso das anulatórias, o valor mediano é menor, mas o valor médio é maior que na</w:t>
      </w:r>
      <w:r>
        <w:t xml:space="preserve"> </w:t>
      </w:r>
      <w:hyperlink w:anchor="tbl-valor-tipo">
        <w:r>
          <w:rPr>
            <w:rStyle w:val="Hyperlink"/>
          </w:rPr>
          <w:t xml:space="preserve">Tabela 16</w:t>
        </w:r>
      </w:hyperlink>
      <w:r>
        <w:t xml:space="preserve">. Isso indica que na amostra de anulatórias sem Unimed, a assimetria nos valores de causa é maior.</w:t>
      </w:r>
    </w:p>
    <w:bookmarkStart w:id="67" w:name="tbl-valor-tipo-unimed"/>
    <w:p>
      <w:pPr>
        <w:pStyle w:val="TableCaption"/>
      </w:pPr>
      <w:r>
        <w:t xml:space="preserve">Tabela 17: Estatísticas descritivas dos valores de causa dos processos, retirando casos da Unimed</w:t>
      </w:r>
    </w:p>
    <w:tbl>
      <w:tblPr>
        <w:tblStyle w:val="Table"/>
        <w:tblW w:type="auto" w:w="0"/>
        <w:tblLook w:firstRow="1" w:lastRow="0" w:firstColumn="0" w:lastColumn="0" w:noHBand="0" w:noVBand="0" w:val="0020"/>
        <w:jc w:val="start"/>
        <w:tblCaption w:val="Tabela 17: Estatísticas descritivas dos valores de causa dos processos, retirando casos da Unimed"/>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Anulacao</w:t>
            </w:r>
          </w:p>
        </w:tc>
        <w:tc>
          <w:tcPr/>
          <w:p>
            <w:pPr>
              <w:pStyle w:val="Compact"/>
              <w:jc w:val="right"/>
            </w:pPr>
            <w:r>
              <w:t xml:space="preserve">37</w:t>
            </w:r>
          </w:p>
        </w:tc>
        <w:tc>
          <w:tcPr/>
          <w:p>
            <w:pPr>
              <w:pStyle w:val="Compact"/>
              <w:jc w:val="left"/>
            </w:pPr>
            <w:r>
              <w:t xml:space="preserve">R$ 6.385.684,12</w:t>
            </w:r>
          </w:p>
        </w:tc>
        <w:tc>
          <w:tcPr/>
          <w:p>
            <w:pPr>
              <w:pStyle w:val="Compact"/>
              <w:jc w:val="left"/>
            </w:pPr>
            <w:r>
              <w:t xml:space="preserve">R$ 75.000,00</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231</w:t>
            </w:r>
          </w:p>
        </w:tc>
        <w:tc>
          <w:tcPr/>
          <w:p>
            <w:pPr>
              <w:pStyle w:val="Compact"/>
              <w:jc w:val="left"/>
            </w:pPr>
            <w:r>
              <w:t xml:space="preserve">R$ 4.404.412,48</w:t>
            </w:r>
          </w:p>
        </w:tc>
        <w:tc>
          <w:tcPr/>
          <w:p>
            <w:pPr>
              <w:pStyle w:val="Compact"/>
              <w:jc w:val="left"/>
            </w:pPr>
            <w:r>
              <w:t xml:space="preserve">R$ 23.489,08</w:t>
            </w:r>
          </w:p>
        </w:tc>
      </w:tr>
    </w:tbl>
    <w:bookmarkEnd w:id="67"/>
    <w:bookmarkEnd w:id="68"/>
    <w:bookmarkStart w:id="73" w:name="Xa4ae9c97ebb39162af9ab83497bccad2859d12c"/>
    <w:p>
      <w:pPr>
        <w:pStyle w:val="Ttulo3"/>
      </w:pPr>
      <w:r>
        <w:t xml:space="preserve">Qual é a taxa de favorabilidade em anulatórias ao longo do tempo?</w:t>
      </w:r>
    </w:p>
    <w:p>
      <w:pPr>
        <w:pStyle w:val="FirstParagraph"/>
      </w:pPr>
      <w:r>
        <w:t xml:space="preserve">A</w:t>
      </w:r>
      <w:r>
        <w:t xml:space="preserve"> </w:t>
      </w:r>
      <w:hyperlink w:anchor="fig-anulacao-no-tempo">
        <w:r>
          <w:rPr>
            <w:rStyle w:val="Hyperlink"/>
          </w:rPr>
          <w:t xml:space="preserve">Figura 5</w:t>
        </w:r>
      </w:hyperlink>
      <w:r>
        <w:t xml:space="preserve"> </w:t>
      </w:r>
      <w:r>
        <w:t xml:space="preserve">mostra a taxa de casos favoráveis (procedentes e parcialmente procedentes) em ações anulatórias por ano, retirando casos de acordo. Apesar da pequena quantidade de dados, é possível observar que a proporção de decisões favoráveis detectada em 2021 e 2022 é menor.</w:t>
      </w:r>
    </w:p>
    <w:tbl>
      <w:tblPr>
        <w:tblStyle w:val="Table"/>
        <w:tblW w:type="pct" w:w="5000"/>
        <w:tblLook w:firstRow="0" w:lastRow="0" w:firstColumn="0" w:lastColumn="0" w:noHBand="0" w:noVBand="0" w:val="0000"/>
        <w:jc w:val="start"/>
      </w:tblPr>
      <w:tblGrid>
        <w:gridCol w:w="7920"/>
      </w:tblGrid>
      <w:tr>
        <w:tc>
          <w:tcPr/>
          <w:bookmarkStart w:id="72" w:name="fig-anulacao-no-tempo"/>
          <w:p>
            <w:pPr>
              <w:jc w:val="center"/>
            </w:pPr>
            <w:r>
              <w:drawing>
                <wp:inline>
                  <wp:extent cx="5969000" cy="3410857"/>
                  <wp:effectExtent b="0" l="0" r="0" t="0"/>
                  <wp:docPr descr="" title="" id="70" name="Picture"/>
                  <a:graphic>
                    <a:graphicData uri="http://schemas.openxmlformats.org/drawingml/2006/picture">
                      <pic:pic>
                        <pic:nvPicPr>
                          <pic:cNvPr descr="relatorio_files/figure-docx/fig-anulacao-no-tempo-1.png" id="71" name="Picture"/>
                          <pic:cNvPicPr>
                            <a:picLocks noChangeArrowheads="1" noChangeAspect="1"/>
                          </pic:cNvPicPr>
                        </pic:nvPicPr>
                        <pic:blipFill>
                          <a:blip r:embed="rId69"/>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Proporção de decisões favoráveis por ano, retirando acordos</w:t>
            </w:r>
          </w:p>
          <w:bookmarkEnd w:id="72"/>
        </w:tc>
      </w:tr>
    </w:tbl>
    <w:bookmarkEnd w:id="73"/>
    <w:bookmarkStart w:id="79" w:name="segunda-instância-1"/>
    <w:p>
      <w:pPr>
        <w:pStyle w:val="Ttulo3"/>
      </w:pPr>
      <w:r>
        <w:t xml:space="preserve">Segunda instância</w:t>
      </w:r>
    </w:p>
    <w:p>
      <w:pPr>
        <w:pStyle w:val="FirstParagraph"/>
      </w:pPr>
      <w:r>
        <w:t xml:space="preserve">A Tabela</w:t>
      </w:r>
      <w:r>
        <w:t xml:space="preserve"> </w:t>
      </w:r>
      <w:hyperlink w:anchor="tbl-2inst-status">
        <w:r>
          <w:rPr>
            <w:rStyle w:val="Hyperlink"/>
          </w:rPr>
          <w:t xml:space="preserve">Tabela 18</w:t>
        </w:r>
      </w:hyperlink>
      <w:r>
        <w:t xml:space="preserve"> </w:t>
      </w:r>
      <w:r>
        <w:t xml:space="preserve">mostra os status dos processos de acordo com as categorias fornecidas pelo TJSP no momento de coleta. Quase 41% dos recursos foram encerrados e 26% foram arquivados administrativamente.</w:t>
      </w:r>
    </w:p>
    <w:bookmarkStart w:id="74" w:name="tbl-2inst-status"/>
    <w:p>
      <w:pPr>
        <w:pStyle w:val="TableCaption"/>
      </w:pPr>
      <w:r>
        <w:t xml:space="preserve">Tabela 18: Status dos processos na segunda instância de acordo com as categorias fornecidas pelo TJSP</w:t>
      </w:r>
    </w:p>
    <w:tbl>
      <w:tblPr>
        <w:tblStyle w:val="Table"/>
        <w:tblW w:type="auto" w:w="0"/>
        <w:tblLook w:firstRow="1" w:lastRow="0" w:firstColumn="0" w:lastColumn="0" w:noHBand="0" w:noVBand="0" w:val="0020"/>
        <w:jc w:val="start"/>
        <w:tblCaption w:val="Tabela 18: Status dos processos na segunda instância de acordo com as categorias fornecidas pelo TJSP"/>
      </w:tblPr>
      <w:tblGrid>
        <w:gridCol w:w="2640"/>
        <w:gridCol w:w="2640"/>
        <w:gridCol w:w="2640"/>
      </w:tblGrid>
      <w:tr>
        <w:trPr>
          <w:tblHeader w:val="true"/>
        </w:trPr>
        <w:tc>
          <w:tcPr/>
          <w:p>
            <w:pPr>
              <w:pStyle w:val="Compact"/>
              <w:jc w:val="left"/>
            </w:pPr>
            <w:r>
              <w:t xml:space="preserve">Staus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Encerrado</w:t>
            </w:r>
          </w:p>
        </w:tc>
        <w:tc>
          <w:tcPr/>
          <w:p>
            <w:pPr>
              <w:pStyle w:val="Compact"/>
              <w:jc w:val="right"/>
            </w:pPr>
            <w:r>
              <w:t xml:space="preserve">70</w:t>
            </w:r>
          </w:p>
        </w:tc>
        <w:tc>
          <w:tcPr/>
          <w:p>
            <w:pPr>
              <w:pStyle w:val="Compact"/>
              <w:jc w:val="right"/>
            </w:pPr>
            <w:r>
              <w:t xml:space="preserve">40.5%</w:t>
            </w:r>
          </w:p>
        </w:tc>
      </w:tr>
      <w:tr>
        <w:tc>
          <w:tcPr/>
          <w:p>
            <w:pPr>
              <w:pStyle w:val="Compact"/>
              <w:jc w:val="left"/>
            </w:pPr>
            <w:r>
              <w:t xml:space="preserve">Arquivado administrativamente</w:t>
            </w:r>
          </w:p>
        </w:tc>
        <w:tc>
          <w:tcPr/>
          <w:p>
            <w:pPr>
              <w:pStyle w:val="Compact"/>
              <w:jc w:val="right"/>
            </w:pPr>
            <w:r>
              <w:t xml:space="preserve">45</w:t>
            </w:r>
          </w:p>
        </w:tc>
        <w:tc>
          <w:tcPr/>
          <w:p>
            <w:pPr>
              <w:pStyle w:val="Compact"/>
              <w:jc w:val="right"/>
            </w:pPr>
            <w:r>
              <w:t xml:space="preserve">26.0%</w:t>
            </w:r>
          </w:p>
        </w:tc>
      </w:tr>
      <w:tr>
        <w:tc>
          <w:tcPr/>
          <w:p>
            <w:pPr>
              <w:pStyle w:val="Compact"/>
              <w:jc w:val="left"/>
            </w:pPr>
            <w:r>
              <w:t xml:space="preserve">Remetido a Outro Tribunal</w:t>
            </w:r>
          </w:p>
        </w:tc>
        <w:tc>
          <w:tcPr/>
          <w:p>
            <w:pPr>
              <w:pStyle w:val="Compact"/>
              <w:jc w:val="right"/>
            </w:pPr>
            <w:r>
              <w:t xml:space="preserve">24</w:t>
            </w:r>
          </w:p>
        </w:tc>
        <w:tc>
          <w:tcPr/>
          <w:p>
            <w:pPr>
              <w:pStyle w:val="Compact"/>
              <w:jc w:val="right"/>
            </w:pPr>
            <w:r>
              <w:t xml:space="preserve">13.9%</w:t>
            </w:r>
          </w:p>
        </w:tc>
      </w:tr>
      <w:tr>
        <w:tc>
          <w:tcPr/>
          <w:p>
            <w:pPr>
              <w:pStyle w:val="Compact"/>
              <w:jc w:val="left"/>
            </w:pPr>
            <w:r>
              <w:t xml:space="preserve">Ativo</w:t>
            </w:r>
          </w:p>
        </w:tc>
        <w:tc>
          <w:tcPr/>
          <w:p>
            <w:pPr>
              <w:pStyle w:val="Compact"/>
              <w:jc w:val="right"/>
            </w:pPr>
            <w:r>
              <w:t xml:space="preserve">18</w:t>
            </w:r>
          </w:p>
        </w:tc>
        <w:tc>
          <w:tcPr/>
          <w:p>
            <w:pPr>
              <w:pStyle w:val="Compact"/>
              <w:jc w:val="right"/>
            </w:pPr>
            <w:r>
              <w:t xml:space="preserve">10.4%</w:t>
            </w:r>
          </w:p>
        </w:tc>
      </w:tr>
      <w:tr>
        <w:tc>
          <w:tcPr/>
          <w:p>
            <w:pPr>
              <w:pStyle w:val="Compact"/>
              <w:jc w:val="left"/>
            </w:pPr>
            <w:r>
              <w:t xml:space="preserve">Julgado</w:t>
            </w:r>
          </w:p>
        </w:tc>
        <w:tc>
          <w:tcPr/>
          <w:p>
            <w:pPr>
              <w:pStyle w:val="Compact"/>
              <w:jc w:val="right"/>
            </w:pPr>
            <w:r>
              <w:t xml:space="preserve">15</w:t>
            </w:r>
          </w:p>
        </w:tc>
        <w:tc>
          <w:tcPr/>
          <w:p>
            <w:pPr>
              <w:pStyle w:val="Compact"/>
              <w:jc w:val="right"/>
            </w:pPr>
            <w:r>
              <w:t xml:space="preserve">8.7%</w:t>
            </w:r>
          </w:p>
        </w:tc>
      </w:tr>
      <w:tr>
        <w:tc>
          <w:tcPr/>
          <w:p>
            <w:pPr>
              <w:pStyle w:val="Compact"/>
              <w:jc w:val="left"/>
            </w:pPr>
            <w:r>
              <w:t xml:space="preserve">Processo não distribuído</w:t>
            </w:r>
          </w:p>
        </w:tc>
        <w:tc>
          <w:tcPr/>
          <w:p>
            <w:pPr>
              <w:pStyle w:val="Compact"/>
              <w:jc w:val="right"/>
            </w:pPr>
            <w:r>
              <w:t xml:space="preserve">1</w:t>
            </w:r>
          </w:p>
        </w:tc>
        <w:tc>
          <w:tcPr/>
          <w:p>
            <w:pPr>
              <w:pStyle w:val="Compact"/>
              <w:jc w:val="right"/>
            </w:pPr>
            <w:r>
              <w:t xml:space="preserve">0.6%</w:t>
            </w:r>
          </w:p>
        </w:tc>
      </w:tr>
    </w:tbl>
    <w:bookmarkEnd w:id="74"/>
    <w:p>
      <w:pPr>
        <w:pStyle w:val="Corpodetexto"/>
      </w:pPr>
      <w:r>
        <w:t xml:space="preserve">A taxa de recorribilidade estimada é de quase 60% (173 de 289 casos). Dividindo as taxas por categoria de processo, encontra-se o resultado da</w:t>
      </w:r>
      <w:r>
        <w:t xml:space="preserve"> </w:t>
      </w:r>
      <w:hyperlink w:anchor="tbl-tx-recorr-categoria">
        <w:r>
          <w:rPr>
            <w:rStyle w:val="Hyperlink"/>
          </w:rPr>
          <w:t xml:space="preserve">Tabela 19</w:t>
        </w:r>
      </w:hyperlink>
      <w:r>
        <w:t xml:space="preserve">. A tabela também apresenta a quantidade de casos com alguma decisão (os demais continuam ativos, aguardando decisão). É possível notar que as anulatórias são as que apresentam maior taxa de recorribilidade.</w:t>
      </w:r>
    </w:p>
    <w:bookmarkStart w:id="75" w:name="tbl-tx-recorr-categoria"/>
    <w:p>
      <w:pPr>
        <w:pStyle w:val="TableCaption"/>
      </w:pPr>
      <w:r>
        <w:t xml:space="preserve">Tabela 19: Quantidade e taxa de recorribilidade por categoria.</w:t>
      </w:r>
    </w:p>
    <w:tbl>
      <w:tblPr>
        <w:tblStyle w:val="Table"/>
        <w:tblW w:type="pct" w:w="5000"/>
        <w:tblLook w:firstRow="1" w:lastRow="0" w:firstColumn="0" w:lastColumn="0" w:noHBand="0" w:noVBand="0" w:val="0020"/>
        <w:jc w:val="start"/>
        <w:tblCaption w:val="Tabela 19: Quantidade e taxa de recorribilidade por categoria."/>
      </w:tblPr>
      <w:tblGrid>
        <w:gridCol w:w="1357"/>
        <w:gridCol w:w="905"/>
        <w:gridCol w:w="1697"/>
        <w:gridCol w:w="1584"/>
        <w:gridCol w:w="2376"/>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N com decisão</w:t>
            </w:r>
          </w:p>
        </w:tc>
        <w:tc>
          <w:tcPr/>
          <w:p>
            <w:pPr>
              <w:pStyle w:val="Compact"/>
              <w:jc w:val="right"/>
            </w:pPr>
            <w:r>
              <w:t xml:space="preserve">Taxa recorribilidade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88</w:t>
            </w:r>
          </w:p>
        </w:tc>
        <w:tc>
          <w:tcPr/>
          <w:p>
            <w:pPr>
              <w:pStyle w:val="Compact"/>
              <w:jc w:val="right"/>
            </w:pPr>
            <w:r>
              <w:t xml:space="preserve">78</w:t>
            </w:r>
          </w:p>
        </w:tc>
        <w:tc>
          <w:tcPr/>
          <w:p>
            <w:pPr>
              <w:pStyle w:val="Compact"/>
              <w:jc w:val="right"/>
            </w:pPr>
            <w:r>
              <w:t xml:space="preserve">92.6%</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41</w:t>
            </w:r>
          </w:p>
        </w:tc>
        <w:tc>
          <w:tcPr/>
          <w:p>
            <w:pPr>
              <w:pStyle w:val="Compact"/>
              <w:jc w:val="right"/>
            </w:pPr>
            <w:r>
              <w:t xml:space="preserve">28</w:t>
            </w:r>
          </w:p>
        </w:tc>
        <w:tc>
          <w:tcPr/>
          <w:p>
            <w:pPr>
              <w:pStyle w:val="Compact"/>
              <w:jc w:val="right"/>
            </w:pPr>
            <w:r>
              <w:t xml:space="preserve">65.1%</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65.2%</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9</w:t>
            </w:r>
          </w:p>
        </w:tc>
        <w:tc>
          <w:tcPr/>
          <w:p>
            <w:pPr>
              <w:pStyle w:val="Compact"/>
              <w:jc w:val="right"/>
            </w:pPr>
            <w:r>
              <w:t xml:space="preserve">7</w:t>
            </w:r>
          </w:p>
        </w:tc>
        <w:tc>
          <w:tcPr/>
          <w:p>
            <w:pPr>
              <w:pStyle w:val="Compact"/>
              <w:jc w:val="right"/>
            </w:pPr>
            <w:r>
              <w:t xml:space="preserve">12.0%</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50.0%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173</w:t>
            </w:r>
          </w:p>
        </w:tc>
        <w:tc>
          <w:tcPr/>
          <w:p>
            <w:pPr>
              <w:pStyle w:val="Compact"/>
              <w:jc w:val="right"/>
            </w:pPr>
            <w:r>
              <w:t xml:space="preserve">132</w:t>
            </w:r>
          </w:p>
        </w:tc>
        <w:tc>
          <w:tcPr/>
          <w:p>
            <w:pPr>
              <w:pStyle w:val="Compact"/>
              <w:jc w:val="right"/>
            </w:pPr>
            <w:r>
              <w:t xml:space="preserve">59.9%</w:t>
            </w:r>
          </w:p>
        </w:tc>
      </w:tr>
    </w:tbl>
    <w:bookmarkEnd w:id="75"/>
    <w:p>
      <w:pPr>
        <w:pStyle w:val="Corpodetexto"/>
      </w:pPr>
      <w:r>
        <w:t xml:space="preserve">A</w:t>
      </w:r>
      <w:r>
        <w:t xml:space="preserve"> </w:t>
      </w:r>
      <w:hyperlink w:anchor="tbl-tx-recorr-categoria-unimed">
        <w:r>
          <w:rPr>
            <w:rStyle w:val="Hyperlink"/>
          </w:rPr>
          <w:t xml:space="preserve">Tabela 20</w:t>
        </w:r>
      </w:hyperlink>
      <w:r>
        <w:t xml:space="preserve"> </w:t>
      </w:r>
      <w:r>
        <w:t xml:space="preserve">mostra as mesmas estatísticas excluindo os casos da Unimed. A taxa de recorribilidade estimada é de 50% (116 de 231 casos). Dividindo as taxas por categoria de processo, é possível notar que as anulatórias permanecem com maior taxa de recorribilidade.</w:t>
      </w:r>
    </w:p>
    <w:bookmarkStart w:id="76" w:name="tbl-tx-recorr-categoria-unimed"/>
    <w:p>
      <w:pPr>
        <w:pStyle w:val="TableCaption"/>
      </w:pPr>
      <w:r>
        <w:t xml:space="preserve">Tabela 20: Quantidade e taxa de recorribilidade por categoria, retirando casos da Unimed</w:t>
      </w:r>
    </w:p>
    <w:tbl>
      <w:tblPr>
        <w:tblStyle w:val="Table"/>
        <w:tblW w:type="pct" w:w="5000"/>
        <w:tblLook w:firstRow="1" w:lastRow="0" w:firstColumn="0" w:lastColumn="0" w:noHBand="0" w:noVBand="0" w:val="0020"/>
        <w:jc w:val="start"/>
        <w:tblCaption w:val="Tabela 20: Quantidade e taxa de recorribilidade por categoria, retirando casos da Unimed"/>
      </w:tblPr>
      <w:tblGrid>
        <w:gridCol w:w="1357"/>
        <w:gridCol w:w="905"/>
        <w:gridCol w:w="1697"/>
        <w:gridCol w:w="1584"/>
        <w:gridCol w:w="2376"/>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N com decisão</w:t>
            </w:r>
          </w:p>
        </w:tc>
        <w:tc>
          <w:tcPr/>
          <w:p>
            <w:pPr>
              <w:pStyle w:val="Compact"/>
              <w:jc w:val="right"/>
            </w:pPr>
            <w:r>
              <w:t xml:space="preserve">Taxa recorribilidade</w:t>
            </w:r>
          </w:p>
        </w:tc>
      </w:tr>
      <w:tr>
        <w:tc>
          <w:tcPr/>
          <w:p>
            <w:pPr>
              <w:pStyle w:val="Compact"/>
              <w:jc w:val="left"/>
            </w:pPr>
            <w:r>
              <w:t xml:space="preserve">Anulacao</w:t>
            </w:r>
          </w:p>
        </w:tc>
        <w:tc>
          <w:tcPr/>
          <w:p>
            <w:pPr>
              <w:pStyle w:val="Compact"/>
              <w:jc w:val="right"/>
            </w:pPr>
            <w:r>
              <w:t xml:space="preserve">37</w:t>
            </w:r>
          </w:p>
        </w:tc>
        <w:tc>
          <w:tcPr/>
          <w:p>
            <w:pPr>
              <w:pStyle w:val="Compact"/>
              <w:jc w:val="right"/>
            </w:pPr>
            <w:r>
              <w:t xml:space="preserve">31</w:t>
            </w:r>
          </w:p>
        </w:tc>
        <w:tc>
          <w:tcPr/>
          <w:p>
            <w:pPr>
              <w:pStyle w:val="Compact"/>
              <w:jc w:val="right"/>
            </w:pPr>
            <w:r>
              <w:t xml:space="preserve">22</w:t>
            </w:r>
          </w:p>
        </w:tc>
        <w:tc>
          <w:tcPr/>
          <w:p>
            <w:pPr>
              <w:pStyle w:val="Compact"/>
              <w:jc w:val="right"/>
            </w:pPr>
            <w:r>
              <w:t xml:space="preserve">83.8%</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41</w:t>
            </w:r>
          </w:p>
        </w:tc>
        <w:tc>
          <w:tcPr/>
          <w:p>
            <w:pPr>
              <w:pStyle w:val="Compact"/>
              <w:jc w:val="right"/>
            </w:pPr>
            <w:r>
              <w:t xml:space="preserve">28</w:t>
            </w:r>
          </w:p>
        </w:tc>
        <w:tc>
          <w:tcPr/>
          <w:p>
            <w:pPr>
              <w:pStyle w:val="Compact"/>
              <w:jc w:val="right"/>
            </w:pPr>
            <w:r>
              <w:t xml:space="preserve">65.1%</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65.2%</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9</w:t>
            </w:r>
          </w:p>
        </w:tc>
        <w:tc>
          <w:tcPr/>
          <w:p>
            <w:pPr>
              <w:pStyle w:val="Compact"/>
              <w:jc w:val="right"/>
            </w:pPr>
            <w:r>
              <w:t xml:space="preserve">7</w:t>
            </w:r>
          </w:p>
        </w:tc>
        <w:tc>
          <w:tcPr/>
          <w:p>
            <w:pPr>
              <w:pStyle w:val="Compact"/>
              <w:jc w:val="right"/>
            </w:pPr>
            <w:r>
              <w:t xml:space="preserve">12.0%</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50.0%</w:t>
            </w:r>
          </w:p>
        </w:tc>
      </w:tr>
      <w:tr>
        <w:tc>
          <w:tcPr/>
          <w:p>
            <w:pPr>
              <w:pStyle w:val="Compact"/>
              <w:jc w:val="left"/>
            </w:pPr>
            <w:r>
              <w:t xml:space="preserve">Total</w:t>
            </w:r>
          </w:p>
        </w:tc>
        <w:tc>
          <w:tcPr/>
          <w:p>
            <w:pPr>
              <w:pStyle w:val="Compact"/>
              <w:jc w:val="right"/>
            </w:pPr>
            <w:r>
              <w:t xml:space="preserve">231</w:t>
            </w:r>
          </w:p>
        </w:tc>
        <w:tc>
          <w:tcPr/>
          <w:p>
            <w:pPr>
              <w:pStyle w:val="Compact"/>
              <w:jc w:val="right"/>
            </w:pPr>
            <w:r>
              <w:t xml:space="preserve">116</w:t>
            </w:r>
          </w:p>
        </w:tc>
        <w:tc>
          <w:tcPr/>
          <w:p>
            <w:pPr>
              <w:pStyle w:val="Compact"/>
              <w:jc w:val="right"/>
            </w:pPr>
            <w:r>
              <w:t xml:space="preserve">76</w:t>
            </w:r>
          </w:p>
        </w:tc>
        <w:tc>
          <w:tcPr/>
          <w:p>
            <w:pPr>
              <w:pStyle w:val="Compact"/>
              <w:jc w:val="right"/>
            </w:pPr>
            <w:r>
              <w:t xml:space="preserve">50.2%</w:t>
            </w:r>
          </w:p>
        </w:tc>
      </w:tr>
    </w:tbl>
    <w:bookmarkEnd w:id="76"/>
    <w:p>
      <w:pPr>
        <w:pStyle w:val="Corpodetexto"/>
      </w:pPr>
      <w:r>
        <w:t xml:space="preserve">Como mostrado na</w:t>
      </w:r>
      <w:r>
        <w:t xml:space="preserve"> </w:t>
      </w:r>
      <w:hyperlink w:anchor="tbl-tx-recorr-categoria">
        <w:r>
          <w:rPr>
            <w:rStyle w:val="Hyperlink"/>
          </w:rPr>
          <w:t xml:space="preserve">Tabela 19</w:t>
        </w:r>
      </w:hyperlink>
      <w:r>
        <w:t xml:space="preserve">, 173 casos com algum recurso, 132 (76%) apresentam alguma decisão. Os demais 41 casos (24%) ainda estavam ativos no momento de coleta dos dados, aguardando julgamento no segundo grau. Dos 132 casos que apresentam alguma decisão, 78 são anulatórias.</w:t>
      </w:r>
    </w:p>
    <w:p>
      <w:pPr>
        <w:pStyle w:val="Corpodetexto"/>
      </w:pPr>
      <w:r>
        <w:t xml:space="preserve">A</w:t>
      </w:r>
      <w:r>
        <w:t xml:space="preserve"> </w:t>
      </w:r>
      <w:hyperlink w:anchor="tbl-tx-provido">
        <w:r>
          <w:rPr>
            <w:rStyle w:val="Hyperlink"/>
          </w:rPr>
          <w:t xml:space="preserve">Tabela 21</w:t>
        </w:r>
      </w:hyperlink>
      <w:r>
        <w:t xml:space="preserve"> </w:t>
      </w:r>
      <w:r>
        <w:t xml:space="preserve">apresenta a taxa de recursos providos ou providos em parte por tipo de recurso. Considerando apenas as anulatórias com alguma decisão (78 casos), a taxa de recursos providos ou providos em parte é de 41% (32 de 78 casos).</w:t>
      </w:r>
    </w:p>
    <w:bookmarkStart w:id="77" w:name="tbl-tx-provido"/>
    <w:p>
      <w:pPr>
        <w:pStyle w:val="TableCaption"/>
      </w:pPr>
      <w:r>
        <w:t xml:space="preserve">Tabela 21: Taxa de recursos provido ou providos em parte por categoria</w:t>
      </w:r>
    </w:p>
    <w:tbl>
      <w:tblPr>
        <w:tblStyle w:val="Table"/>
        <w:tblW w:type="auto" w:w="0"/>
        <w:tblLook w:firstRow="1" w:lastRow="0" w:firstColumn="0" w:lastColumn="0" w:noHBand="0" w:noVBand="0" w:val="0020"/>
        <w:jc w:val="start"/>
        <w:tblCaption w:val="Tabela 21: Taxa de recursos provido ou providos em parte por categoria"/>
      </w:tblPr>
      <w:tblGrid>
        <w:gridCol w:w="2640"/>
        <w:gridCol w:w="2640"/>
        <w:gridCol w:w="2640"/>
      </w:tblGrid>
      <w:tr>
        <w:trPr>
          <w:tblHeader w:val="true"/>
        </w:trPr>
        <w:tc>
          <w:tcPr/>
          <w:p>
            <w:pPr>
              <w:pStyle w:val="Compact"/>
              <w:jc w:val="left"/>
            </w:pPr>
            <w:r>
              <w:t xml:space="preserve">Categoria</w:t>
            </w:r>
          </w:p>
        </w:tc>
        <w:tc>
          <w:tcPr/>
          <w:p>
            <w:pPr>
              <w:pStyle w:val="Compact"/>
              <w:jc w:val="right"/>
            </w:pPr>
            <w:r>
              <w:t xml:space="preserve">N decisões</w:t>
            </w:r>
          </w:p>
        </w:tc>
        <w:tc>
          <w:tcPr/>
          <w:p>
            <w:pPr>
              <w:pStyle w:val="Compact"/>
              <w:jc w:val="right"/>
            </w:pPr>
            <w:r>
              <w:t xml:space="preserve">% Provido</w:t>
            </w:r>
          </w:p>
        </w:tc>
      </w:tr>
      <w:tr>
        <w:tc>
          <w:tcPr/>
          <w:p>
            <w:pPr>
              <w:pStyle w:val="Compact"/>
              <w:jc w:val="left"/>
            </w:pPr>
            <w:r>
              <w:t xml:space="preserve">Anulacao</w:t>
            </w:r>
          </w:p>
        </w:tc>
        <w:tc>
          <w:tcPr/>
          <w:p>
            <w:pPr>
              <w:pStyle w:val="Compact"/>
              <w:jc w:val="right"/>
            </w:pPr>
            <w:r>
              <w:t xml:space="preserve">78</w:t>
            </w:r>
          </w:p>
        </w:tc>
        <w:tc>
          <w:tcPr/>
          <w:p>
            <w:pPr>
              <w:pStyle w:val="Compact"/>
              <w:jc w:val="right"/>
            </w:pPr>
            <w:r>
              <w:t xml:space="preserve">41.0%</w:t>
            </w:r>
          </w:p>
        </w:tc>
      </w:tr>
      <w:tr>
        <w:tc>
          <w:tcPr/>
          <w:p>
            <w:pPr>
              <w:pStyle w:val="Compact"/>
              <w:jc w:val="left"/>
            </w:pPr>
            <w:r>
              <w:t xml:space="preserve">Cautelar</w:t>
            </w:r>
          </w:p>
        </w:tc>
        <w:tc>
          <w:tcPr/>
          <w:p>
            <w:pPr>
              <w:pStyle w:val="Compact"/>
              <w:jc w:val="right"/>
            </w:pPr>
            <w:r>
              <w:t xml:space="preserve">28</w:t>
            </w:r>
          </w:p>
        </w:tc>
        <w:tc>
          <w:tcPr/>
          <w:p>
            <w:pPr>
              <w:pStyle w:val="Compact"/>
              <w:jc w:val="right"/>
            </w:pPr>
            <w:r>
              <w:t xml:space="preserve">17.9%</w:t>
            </w:r>
          </w:p>
        </w:tc>
      </w:tr>
      <w:tr>
        <w:tc>
          <w:tcPr/>
          <w:p>
            <w:pPr>
              <w:pStyle w:val="Compact"/>
              <w:jc w:val="left"/>
            </w:pPr>
            <w:r>
              <w:t xml:space="preserve">Convencao</w:t>
            </w:r>
          </w:p>
        </w:tc>
        <w:tc>
          <w:tcPr/>
          <w:p>
            <w:pPr>
              <w:pStyle w:val="Compact"/>
              <w:jc w:val="right"/>
            </w:pPr>
            <w:r>
              <w:t xml:space="preserve">14</w:t>
            </w:r>
          </w:p>
        </w:tc>
        <w:tc>
          <w:tcPr/>
          <w:p>
            <w:pPr>
              <w:pStyle w:val="Compact"/>
              <w:jc w:val="right"/>
            </w:pPr>
            <w:r>
              <w:t xml:space="preserve">14.3%</w:t>
            </w:r>
          </w:p>
        </w:tc>
      </w:tr>
      <w:tr>
        <w:tc>
          <w:tcPr/>
          <w:p>
            <w:pPr>
              <w:pStyle w:val="Compact"/>
              <w:jc w:val="left"/>
            </w:pPr>
            <w:r>
              <w:t xml:space="preserve">Cumprimento</w:t>
            </w:r>
          </w:p>
        </w:tc>
        <w:tc>
          <w:tcPr/>
          <w:p>
            <w:pPr>
              <w:pStyle w:val="Compact"/>
              <w:jc w:val="right"/>
            </w:pPr>
            <w:r>
              <w:t xml:space="preserve">7</w:t>
            </w:r>
          </w:p>
        </w:tc>
        <w:tc>
          <w:tcPr/>
          <w:p>
            <w:pPr>
              <w:pStyle w:val="Compact"/>
              <w:jc w:val="right"/>
            </w:pPr>
            <w:r>
              <w:t xml:space="preserve">42.9%</w:t>
            </w:r>
          </w:p>
        </w:tc>
      </w:tr>
      <w:tr>
        <w:tc>
          <w:tcPr/>
          <w:p>
            <w:pPr>
              <w:pStyle w:val="Compact"/>
              <w:jc w:val="left"/>
            </w:pPr>
            <w:r>
              <w:t xml:space="preserve">Instauracao</w:t>
            </w:r>
          </w:p>
        </w:tc>
        <w:tc>
          <w:tcPr/>
          <w:p>
            <w:pPr>
              <w:pStyle w:val="Compact"/>
              <w:jc w:val="right"/>
            </w:pPr>
            <w:r>
              <w:t xml:space="preserve">5</w:t>
            </w:r>
          </w:p>
        </w:tc>
        <w:tc>
          <w:tcPr/>
          <w:p>
            <w:pPr>
              <w:pStyle w:val="Compact"/>
              <w:jc w:val="right"/>
            </w:pPr>
            <w:r>
              <w:t xml:space="preserve">40.0%</w:t>
            </w:r>
          </w:p>
        </w:tc>
      </w:tr>
    </w:tbl>
    <w:bookmarkEnd w:id="77"/>
    <w:p>
      <w:pPr>
        <w:pStyle w:val="Corpodetexto"/>
      </w:pPr>
      <w:r>
        <w:t xml:space="preserve">A</w:t>
      </w:r>
      <w:r>
        <w:t xml:space="preserve"> </w:t>
      </w:r>
      <w:hyperlink w:anchor="tbl-tx-provido-unimed">
        <w:r>
          <w:rPr>
            <w:rStyle w:val="Hyperlink"/>
          </w:rPr>
          <w:t xml:space="preserve">Tabela 22</w:t>
        </w:r>
      </w:hyperlink>
      <w:r>
        <w:t xml:space="preserve"> </w:t>
      </w:r>
      <w:r>
        <w:t xml:space="preserve">apresenta as mesmas taxas da</w:t>
      </w:r>
      <w:r>
        <w:t xml:space="preserve"> </w:t>
      </w:r>
      <w:hyperlink w:anchor="tbl-tx-provido">
        <w:r>
          <w:rPr>
            <w:rStyle w:val="Hyperlink"/>
          </w:rPr>
          <w:t xml:space="preserve">Tabela 21</w:t>
        </w:r>
      </w:hyperlink>
      <w:r>
        <w:t xml:space="preserve"> </w:t>
      </w:r>
      <w:r>
        <w:t xml:space="preserve">excluindo casos da Unimed. Considerando apenas as anulatórias com alguma decisão (22 casos), a taxa de recursos providos ou providos em parte é de 14% (3 de 22 casos).</w:t>
      </w:r>
    </w:p>
    <w:bookmarkStart w:id="78" w:name="tbl-tx-provido-unimed"/>
    <w:p>
      <w:pPr>
        <w:pStyle w:val="TableCaption"/>
      </w:pPr>
      <w:r>
        <w:t xml:space="preserve">Tabela 22: Taxa de recursos provido ou providos em parte por categoria, excluindo casos da Unimed.</w:t>
      </w:r>
    </w:p>
    <w:tbl>
      <w:tblPr>
        <w:tblStyle w:val="Table"/>
        <w:tblW w:type="auto" w:w="0"/>
        <w:tblLook w:firstRow="1" w:lastRow="0" w:firstColumn="0" w:lastColumn="0" w:noHBand="0" w:noVBand="0" w:val="0020"/>
        <w:jc w:val="start"/>
        <w:tblCaption w:val="Tabela 22: Taxa de recursos provido ou providos em parte por categoria, excluindo casos da Unimed."/>
      </w:tblPr>
      <w:tblGrid>
        <w:gridCol w:w="2640"/>
        <w:gridCol w:w="2640"/>
        <w:gridCol w:w="2640"/>
      </w:tblGrid>
      <w:tr>
        <w:trPr>
          <w:tblHeader w:val="true"/>
        </w:trPr>
        <w:tc>
          <w:tcPr/>
          <w:p>
            <w:pPr>
              <w:pStyle w:val="Compact"/>
              <w:jc w:val="left"/>
            </w:pPr>
            <w:r>
              <w:t xml:space="preserve">Categoria</w:t>
            </w:r>
          </w:p>
        </w:tc>
        <w:tc>
          <w:tcPr/>
          <w:p>
            <w:pPr>
              <w:pStyle w:val="Compact"/>
              <w:jc w:val="right"/>
            </w:pPr>
            <w:r>
              <w:t xml:space="preserve">N decisões</w:t>
            </w:r>
          </w:p>
        </w:tc>
        <w:tc>
          <w:tcPr/>
          <w:p>
            <w:pPr>
              <w:pStyle w:val="Compact"/>
              <w:jc w:val="right"/>
            </w:pPr>
            <w:r>
              <w:t xml:space="preserve">% Provido</w:t>
            </w:r>
          </w:p>
        </w:tc>
      </w:tr>
      <w:tr>
        <w:tc>
          <w:tcPr/>
          <w:p>
            <w:pPr>
              <w:pStyle w:val="Compact"/>
              <w:jc w:val="left"/>
            </w:pPr>
            <w:r>
              <w:t xml:space="preserve">Anulacao</w:t>
            </w:r>
          </w:p>
        </w:tc>
        <w:tc>
          <w:tcPr/>
          <w:p>
            <w:pPr>
              <w:pStyle w:val="Compact"/>
              <w:jc w:val="right"/>
            </w:pPr>
            <w:r>
              <w:t xml:space="preserve">22</w:t>
            </w:r>
          </w:p>
        </w:tc>
        <w:tc>
          <w:tcPr/>
          <w:p>
            <w:pPr>
              <w:pStyle w:val="Compact"/>
              <w:jc w:val="right"/>
            </w:pPr>
            <w:r>
              <w:t xml:space="preserve">13.6%</w:t>
            </w:r>
          </w:p>
        </w:tc>
      </w:tr>
      <w:tr>
        <w:tc>
          <w:tcPr/>
          <w:p>
            <w:pPr>
              <w:pStyle w:val="Compact"/>
              <w:jc w:val="left"/>
            </w:pPr>
            <w:r>
              <w:t xml:space="preserve">Cautelar</w:t>
            </w:r>
          </w:p>
        </w:tc>
        <w:tc>
          <w:tcPr/>
          <w:p>
            <w:pPr>
              <w:pStyle w:val="Compact"/>
              <w:jc w:val="right"/>
            </w:pPr>
            <w:r>
              <w:t xml:space="preserve">28</w:t>
            </w:r>
          </w:p>
        </w:tc>
        <w:tc>
          <w:tcPr/>
          <w:p>
            <w:pPr>
              <w:pStyle w:val="Compact"/>
              <w:jc w:val="right"/>
            </w:pPr>
            <w:r>
              <w:t xml:space="preserve">17.9%</w:t>
            </w:r>
          </w:p>
        </w:tc>
      </w:tr>
      <w:tr>
        <w:tc>
          <w:tcPr/>
          <w:p>
            <w:pPr>
              <w:pStyle w:val="Compact"/>
              <w:jc w:val="left"/>
            </w:pPr>
            <w:r>
              <w:t xml:space="preserve">Convencao</w:t>
            </w:r>
          </w:p>
        </w:tc>
        <w:tc>
          <w:tcPr/>
          <w:p>
            <w:pPr>
              <w:pStyle w:val="Compact"/>
              <w:jc w:val="right"/>
            </w:pPr>
            <w:r>
              <w:t xml:space="preserve">14</w:t>
            </w:r>
          </w:p>
        </w:tc>
        <w:tc>
          <w:tcPr/>
          <w:p>
            <w:pPr>
              <w:pStyle w:val="Compact"/>
              <w:jc w:val="right"/>
            </w:pPr>
            <w:r>
              <w:t xml:space="preserve">14.3%</w:t>
            </w:r>
          </w:p>
        </w:tc>
      </w:tr>
      <w:tr>
        <w:tc>
          <w:tcPr/>
          <w:p>
            <w:pPr>
              <w:pStyle w:val="Compact"/>
              <w:jc w:val="left"/>
            </w:pPr>
            <w:r>
              <w:t xml:space="preserve">Cumprimento</w:t>
            </w:r>
          </w:p>
        </w:tc>
        <w:tc>
          <w:tcPr/>
          <w:p>
            <w:pPr>
              <w:pStyle w:val="Compact"/>
              <w:jc w:val="right"/>
            </w:pPr>
            <w:r>
              <w:t xml:space="preserve">7</w:t>
            </w:r>
          </w:p>
        </w:tc>
        <w:tc>
          <w:tcPr/>
          <w:p>
            <w:pPr>
              <w:pStyle w:val="Compact"/>
              <w:jc w:val="right"/>
            </w:pPr>
            <w:r>
              <w:t xml:space="preserve">42.9%</w:t>
            </w:r>
          </w:p>
        </w:tc>
      </w:tr>
      <w:tr>
        <w:tc>
          <w:tcPr/>
          <w:p>
            <w:pPr>
              <w:pStyle w:val="Compact"/>
              <w:jc w:val="left"/>
            </w:pPr>
            <w:r>
              <w:t xml:space="preserve">Instauracao</w:t>
            </w:r>
          </w:p>
        </w:tc>
        <w:tc>
          <w:tcPr/>
          <w:p>
            <w:pPr>
              <w:pStyle w:val="Compact"/>
              <w:jc w:val="right"/>
            </w:pPr>
            <w:r>
              <w:t xml:space="preserve">5</w:t>
            </w:r>
          </w:p>
        </w:tc>
        <w:tc>
          <w:tcPr/>
          <w:p>
            <w:pPr>
              <w:pStyle w:val="Compact"/>
              <w:jc w:val="right"/>
            </w:pPr>
            <w:r>
              <w:t xml:space="preserve">40.0%</w:t>
            </w:r>
          </w:p>
        </w:tc>
      </w:tr>
    </w:tbl>
    <w:bookmarkEnd w:id="78"/>
    <w:bookmarkEnd w:id="79"/>
    <w:bookmarkStart w:id="80" w:name="X9e795b03510e6844a752ac30ce56d1c4523ab36"/>
    <w:p>
      <w:pPr>
        <w:pStyle w:val="Ttulo3"/>
      </w:pPr>
      <w:r>
        <w:t xml:space="preserve">Reforma da decisão arbitral em segunda instância</w:t>
      </w:r>
    </w:p>
    <w:p>
      <w:pPr>
        <w:pStyle w:val="FirstParagraph"/>
      </w:pPr>
      <w:r>
        <w:t xml:space="preserve">Uma possível análise de interesse é a</w:t>
      </w:r>
      <w:r>
        <w:t xml:space="preserve"> </w:t>
      </w:r>
      <w:r>
        <w:rPr>
          <w:bCs/>
          <w:b/>
        </w:rPr>
        <w:t xml:space="preserve">reforma da decisão arbitral em segunda instância</w:t>
      </w:r>
      <w:r>
        <w:t xml:space="preserve">. Quando se observa um recurso provido, isso não significa, necessariamente, que a decisão artbitral em si foi reformada, já que o recurso pode reverter uma sentença de procedência da anulatória, o que mantém a decisão tomada em foro arbitral. É importante destacar que essa análise está sendo feita em segunda instância, ou seja, aqui existem dois mecanismos de seleção: um da decisão arbitral para a sentença da anulatória, e outra da sentença judicial até o acórdão. Por isso, destaca-se, novamente, que a taxa apresentada não deve ser interpretada como a probabilidade de reverter uma decisão arbitral.</w:t>
      </w:r>
    </w:p>
    <w:p>
      <w:pPr>
        <w:pStyle w:val="Corpodetexto"/>
      </w:pPr>
      <w:r>
        <w:t xml:space="preserve">A análise da reforma foi realizada considerando as anulatórias. Dos 78 recursos em anulatórias que apresentam alguma decisão, 75 são decisões de mérito. Ou seja, são 75 os casos que tiveram alguma decisão que poderiam reformar a sentença arbitral.</w:t>
      </w:r>
    </w:p>
    <w:p>
      <w:pPr>
        <w:pStyle w:val="Corpodetexto"/>
      </w:pPr>
      <w:r>
        <w:t xml:space="preserve">Dos 75 casos com decisão de mérito, foi identificado que 28 (37%) reformaram a decisão arbitral. Isso signfica que, após todos os mecanismos de seleção, ou seja, da decisão arbitral para a entrada do processo em primeira instância, e da sentença em primeira instância para o recurso, os poucos casos que sobram apresentam uma taxa de reforma de 37%.</w:t>
      </w:r>
    </w:p>
    <w:p>
      <w:pPr>
        <w:pStyle w:val="Corpodetexto"/>
      </w:pPr>
      <w:r>
        <w:t xml:space="preserve">Finalmente, retirando as decisões envolvendo a Unimed, observam-se 22 anulatórias, sendo que 20 delas apresentam decisão de mérito. Desses 20 recursos, apenas 1 caso apresentou reforma da decisão arbitral. Ou seja, mesmo após todos os mecanismos de seleção, ao retirar a Unimed, a reforma da decisão arbitral a partir de ações anulatórias na fase recursal é bastante rara.</w:t>
      </w:r>
    </w:p>
    <w:bookmarkEnd w:id="80"/>
    <w:bookmarkEnd w:id="81"/>
    <w:bookmarkEnd w:id="82"/>
    <w:bookmarkStart w:id="86" w:name="referências"/>
    <w:p>
      <w:pPr>
        <w:pStyle w:val="Ttulo1"/>
      </w:pPr>
      <w:r>
        <w:t xml:space="preserve">Referências</w:t>
      </w:r>
    </w:p>
    <w:bookmarkStart w:id="85" w:name="refs"/>
    <w:bookmarkStart w:id="83" w:name="ref-priest1984selection"/>
    <w:p>
      <w:pPr>
        <w:pStyle w:val="Bibliografia"/>
      </w:pPr>
      <w:r>
        <w:t xml:space="preserve">Priest, George L, e Benjamin Klein. 1984.</w:t>
      </w:r>
      <w:r>
        <w:t xml:space="preserve"> </w:t>
      </w:r>
      <w:r>
        <w:t xml:space="preserve">«The selection of disputes for litigation»</w:t>
      </w:r>
      <w:r>
        <w:t xml:space="preserve">.</w:t>
      </w:r>
      <w:r>
        <w:t xml:space="preserve"> </w:t>
      </w:r>
      <w:r>
        <w:rPr>
          <w:iCs/>
          <w:i/>
        </w:rPr>
        <w:t xml:space="preserve">The journal of legal studies</w:t>
      </w:r>
      <w:r>
        <w:t xml:space="preserve"> </w:t>
      </w:r>
      <w:r>
        <w:t xml:space="preserve">13 (1): 1–55.</w:t>
      </w:r>
    </w:p>
    <w:bookmarkEnd w:id="83"/>
    <w:bookmarkStart w:id="84"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84"/>
    <w:bookmarkEnd w:id="85"/>
    <w:bookmarkEnd w:id="86"/>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4">
    <w:p>
      <w:pPr>
        <w:pStyle w:val="Textodenotaderodap"/>
      </w:pPr>
      <w:r>
        <w:rPr>
          <w:rStyle w:val="Refdenotaderodap"/>
        </w:rPr>
        <w:footnoteRef/>
      </w:r>
      <w:r>
        <w:t xml:space="preserve"> </w:t>
      </w:r>
      <w:r>
        <w:t xml:space="preserve">As três primeiras varas empresariais tiveram sua criação autorizada no dia 14 de dezembro por deliberação unânime do Órgão Especial do Tribunal de Justiça do Estado de São Paulo. Link para o parecer em</w:t>
      </w:r>
      <w:r>
        <w:t xml:space="preserve"> </w:t>
      </w:r>
      <w:hyperlink r:id="rId25">
        <w:r>
          <w:rPr>
            <w:rStyle w:val="Hyperlink"/>
          </w:rPr>
          <w:t xml:space="preserve">https://bit.ly/parecer-varas</w:t>
        </w:r>
      </w:hyperlink>
      <w:r>
        <w:t xml:space="preserve">. Acesso em 03 de maio de 2023.</w:t>
      </w:r>
    </w:p>
  </w:footnote>
  <w:footnote w:id="30">
    <w:p>
      <w:pPr>
        <w:pStyle w:val="Textodenotaderodap"/>
      </w:pPr>
      <w:r>
        <w:rPr>
          <w:rStyle w:val="Refdenotaderodap"/>
        </w:rPr>
        <w:footnoteRef/>
      </w:r>
      <w:r>
        <w:t xml:space="preserve"> </w:t>
      </w:r>
      <w:r>
        <w:t xml:space="preserve">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Um caso foi identificado em uma nova categoria</w:t>
      </w:r>
      <w:r>
        <w:t xml:space="preserve"> </w:t>
      </w:r>
      <w:r>
        <w:t xml:space="preserve">“</w:t>
      </w:r>
      <w:r>
        <w:t xml:space="preserve">Carta Arbitral</w:t>
      </w:r>
      <w:r>
        <w:t xml:space="preserve">”</w:t>
      </w:r>
      <w:r>
        <w:t xml:space="preserve"> </w:t>
      </w:r>
      <w:r>
        <w:t xml:space="preserve">(1099760-61.2021.8.26.0100). O caso foi desconsiderado da análise.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69" Target="media/rId6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2023-05-23T13:01:08Z</dcterms:created>
  <dcterms:modified xsi:type="dcterms:W3CDTF">2023-05-23T13:01:08Z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2023-05-23</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