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1.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02/12/2022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compromisso arbitral e v) ação de instauração da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35" w:name="arrumação"/>
    <w:p>
      <w:pPr>
        <w:pStyle w:val="Ttulo2"/>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categoria</w:t>
      </w:r>
    </w:p>
    <w:tbl>
      <w:tblPr>
        <w:tblStyle w:val="Table"/>
        <w:tblW w:type="auto" w:w="0"/>
        <w:tblLook w:firstRow="1" w:lastRow="0" w:firstColumn="0" w:lastColumn="0" w:noHBand="0" w:noVBand="0" w:val="0020"/>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resultado</w:t>
      </w:r>
    </w:p>
    <w:tbl>
      <w:tblPr>
        <w:tblStyle w:val="Table"/>
        <w:tblW w:type="auto" w:w="0"/>
        <w:tblLook w:firstRow="1" w:lastRow="0" w:firstColumn="0" w:lastColumn="0" w:noHBand="0" w:noVBand="0" w:val="0020"/>
        <w:tblCaption w:val="Tabela 4: Processos classificados por resultad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2" w:name="revisão-manual"/>
    <w:p>
      <w:pPr>
        <w:pStyle w:val="Ttulo3"/>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realmente faziam parte do escopo</w:t>
      </w:r>
      <w:r>
        <w:rPr>
          <w:rStyle w:val="Refdenotaderodap"/>
        </w:rPr>
        <w:footnoteReference w:id="28"/>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5</w:t>
        </w:r>
      </w:hyperlink>
      <w:r>
        <w:t xml:space="preserve"> </w:t>
      </w:r>
      <w:r>
        <w:t xml:space="preserve">mostra as classificações depois da correção manual.</w:t>
      </w:r>
    </w:p>
    <w:bookmarkStart w:id="29" w:name="tbl-tabela-tipo-revisao"/>
    <w:p>
      <w:pPr>
        <w:pStyle w:val="TableCaption"/>
      </w:pPr>
      <w:r>
        <w:t xml:space="preserve">Tabela 5: Processos classificados por categoria, após revisão</w:t>
      </w:r>
    </w:p>
    <w:tbl>
      <w:tblPr>
        <w:tblStyle w:val="Table"/>
        <w:tblW w:type="auto" w:w="0"/>
        <w:tblLook w:firstRow="1" w:lastRow="0" w:firstColumn="0" w:lastColumn="0" w:noHBand="0" w:noVBand="0" w:val="0020"/>
        <w:tblCaption w:val="Tabela 5: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29"/>
    <w:p>
      <w:pPr>
        <w:pStyle w:val="Corpodetexto"/>
      </w:pPr>
      <w:r>
        <w:t xml:space="preserve">Com relação aos resultados, não houve mudanças tão significativas. A categoria que mais mudou foi a de acordos, que costumam ser difíceis de mapear apenas por palavras-chave. A</w:t>
      </w:r>
      <w:r>
        <w:t xml:space="preserve"> </w:t>
      </w:r>
      <w:hyperlink w:anchor="tbl-tabela-resultado-revisao">
        <w:r>
          <w:rPr>
            <w:rStyle w:val="Hyperlink"/>
          </w:rPr>
          <w:t xml:space="preserve">Tabela 6</w:t>
        </w:r>
      </w:hyperlink>
      <w:r>
        <w:t xml:space="preserve"> </w:t>
      </w:r>
      <w:r>
        <w:t xml:space="preserve">mostra as classificações depois da correção manual.</w:t>
      </w:r>
    </w:p>
    <w:bookmarkStart w:id="30" w:name="tbl-tabela-resultado-revisao"/>
    <w:p>
      <w:pPr>
        <w:pStyle w:val="TableCaption"/>
      </w:pPr>
      <w:r>
        <w:t xml:space="preserve">Tabela 6: Processos classificados por resultado, após revisão</w:t>
      </w:r>
    </w:p>
    <w:tbl>
      <w:tblPr>
        <w:tblStyle w:val="Table"/>
        <w:tblW w:type="auto" w:w="0"/>
        <w:tblLook w:firstRow="1" w:lastRow="0" w:firstColumn="0" w:lastColumn="0" w:noHBand="0" w:noVBand="0" w:val="0020"/>
        <w:tblCaption w:val="Tabela 6: Processos classificados por resultado,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124</w:t>
            </w:r>
          </w:p>
        </w:tc>
        <w:tc>
          <w:tcPr/>
          <w:p>
            <w:pPr>
              <w:pStyle w:val="Compact"/>
              <w:jc w:val="right"/>
            </w:pPr>
            <w:r>
              <w:t xml:space="preserve">42.9%</w:t>
            </w:r>
          </w:p>
        </w:tc>
      </w:tr>
      <w:tr>
        <w:tc>
          <w:tcPr/>
          <w:p>
            <w:pPr>
              <w:pStyle w:val="Compact"/>
              <w:jc w:val="left"/>
            </w:pPr>
            <w:r>
              <w:t xml:space="preserve">Improcedente</w:t>
            </w:r>
          </w:p>
        </w:tc>
        <w:tc>
          <w:tcPr/>
          <w:p>
            <w:pPr>
              <w:pStyle w:val="Compact"/>
              <w:jc w:val="right"/>
            </w:pPr>
            <w:r>
              <w:t xml:space="preserve">57</w:t>
            </w:r>
          </w:p>
        </w:tc>
        <w:tc>
          <w:tcPr/>
          <w:p>
            <w:pPr>
              <w:pStyle w:val="Compact"/>
              <w:jc w:val="right"/>
            </w:pPr>
            <w:r>
              <w:t xml:space="preserve">19.7%</w:t>
            </w:r>
          </w:p>
        </w:tc>
      </w:tr>
      <w:tr>
        <w:tc>
          <w:tcPr/>
          <w:p>
            <w:pPr>
              <w:pStyle w:val="Compact"/>
              <w:jc w:val="left"/>
            </w:pPr>
            <w:r>
              <w:t xml:space="preserve">Acordo</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Procedente</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Parcial</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0"/>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1">
        <w:r>
          <w:rPr>
            <w:rStyle w:val="Hyperlink"/>
          </w:rPr>
          <w:t xml:space="preserve">neste link</w:t>
        </w:r>
      </w:hyperlink>
      <w:r>
        <w:t xml:space="preserve">.</w:t>
      </w:r>
    </w:p>
    <w:bookmarkEnd w:id="32"/>
    <w:bookmarkStart w:id="34" w:name="segunda-instância"/>
    <w:p>
      <w:pPr>
        <w:pStyle w:val="Ttulo3"/>
      </w:pPr>
      <w:r>
        <w:t xml:space="preserve">Segunda instância</w:t>
      </w:r>
    </w:p>
    <w:p>
      <w:pPr>
        <w:pStyle w:val="FirstParagraph"/>
      </w:pPr>
      <w:r>
        <w:t xml:space="preserve">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ainda estavam em curso no momento da coleta de dados.</w:t>
      </w:r>
    </w:p>
    <w:p>
      <w:pPr>
        <w:pStyle w:val="Corpodetexto"/>
      </w:pPr>
      <w:r>
        <w:t xml:space="preserve">Após o filtro inicial, a base passou por uma revisão manual. Dos 173 casos, 98 foram considerados como dentro do escopo, sendo que 57 tinham alguma decisão.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98 linhas e 8 colunas. A base de dados em Excel pode ser baixada</w:t>
      </w:r>
      <w:r>
        <w:t xml:space="preserve"> </w:t>
      </w:r>
      <w:hyperlink r:id="rId33">
        <w:r>
          <w:rPr>
            <w:rStyle w:val="Hyperlink"/>
          </w:rPr>
          <w:t xml:space="preserve">neste link</w:t>
        </w:r>
      </w:hyperlink>
      <w:r>
        <w:t xml:space="preserve">.</w:t>
      </w:r>
    </w:p>
    <w:bookmarkEnd w:id="34"/>
    <w:bookmarkEnd w:id="35"/>
    <w:bookmarkStart w:id="69" w:name="análise"/>
    <w:p>
      <w:pPr>
        <w:pStyle w:val="Ttulo2"/>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A</w:t>
      </w:r>
      <w:r>
        <w:t xml:space="preserve"> </w:t>
      </w:r>
      <w:hyperlink w:anchor="tbl-status">
        <w:r>
          <w:rPr>
            <w:rStyle w:val="Hyperlink"/>
          </w:rPr>
          <w:t xml:space="preserve">Tabela 7</w:t>
        </w:r>
      </w:hyperlink>
      <w:r>
        <w:t xml:space="preserve"> </w:t>
      </w:r>
      <w:r>
        <w:t xml:space="preserve">mostra os status dos processos no momento da coleta dos dados, em novembro/2022. A maioria dos casos está extinta e aproximadamente um quinto dos casos está em grau de recurso.</w:t>
      </w:r>
    </w:p>
    <w:bookmarkStart w:id="36" w:name="tbl-status"/>
    <w:p>
      <w:pPr>
        <w:pStyle w:val="TableCaption"/>
      </w:pPr>
      <w:r>
        <w:t xml:space="preserve">Tabela 7: Status dos processos no momento da coleta dos dados</w:t>
      </w:r>
    </w:p>
    <w:tbl>
      <w:tblPr>
        <w:tblStyle w:val="Table"/>
        <w:tblW w:type="auto" w:w="0"/>
        <w:tblLook w:firstRow="1" w:lastRow="0" w:firstColumn="0" w:lastColumn="0" w:noHBand="0" w:noVBand="0" w:val="0020"/>
        <w:tblCaption w:val="Tabela 7: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171</w:t>
            </w:r>
          </w:p>
        </w:tc>
        <w:tc>
          <w:tcPr/>
          <w:p>
            <w:pPr>
              <w:pStyle w:val="Compact"/>
              <w:jc w:val="right"/>
            </w:pPr>
            <w:r>
              <w:t xml:space="preserve">59.2%</w:t>
            </w:r>
          </w:p>
        </w:tc>
      </w:tr>
      <w:tr>
        <w:tc>
          <w:tcPr/>
          <w:p>
            <w:pPr>
              <w:pStyle w:val="Compact"/>
              <w:jc w:val="left"/>
            </w:pPr>
            <w:r>
              <w:t xml:space="preserve">Em grau de recurso</w:t>
            </w:r>
          </w:p>
        </w:tc>
        <w:tc>
          <w:tcPr/>
          <w:p>
            <w:pPr>
              <w:pStyle w:val="Compact"/>
              <w:jc w:val="right"/>
            </w:pPr>
            <w:r>
              <w:t xml:space="preserve">62</w:t>
            </w:r>
          </w:p>
        </w:tc>
        <w:tc>
          <w:tcPr/>
          <w:p>
            <w:pPr>
              <w:pStyle w:val="Compact"/>
              <w:jc w:val="right"/>
            </w:pPr>
            <w:r>
              <w:t xml:space="preserve">21.5%</w:t>
            </w:r>
          </w:p>
        </w:tc>
      </w:tr>
      <w:tr>
        <w:tc>
          <w:tcPr/>
          <w:p>
            <w:pPr>
              <w:pStyle w:val="Compact"/>
              <w:jc w:val="left"/>
            </w:pPr>
            <w:r>
              <w:t xml:space="preserve">(Vazio)</w:t>
            </w:r>
          </w:p>
        </w:tc>
        <w:tc>
          <w:tcPr/>
          <w:p>
            <w:pPr>
              <w:pStyle w:val="Compact"/>
              <w:jc w:val="right"/>
            </w:pPr>
            <w:r>
              <w:t xml:space="preserve">50</w:t>
            </w:r>
          </w:p>
        </w:tc>
        <w:tc>
          <w:tcPr/>
          <w:p>
            <w:pPr>
              <w:pStyle w:val="Compact"/>
              <w:jc w:val="right"/>
            </w:pPr>
            <w:r>
              <w:t xml:space="preserve">17.3%</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6"/>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8</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8: Classes mais comuns</w:t>
      </w:r>
    </w:p>
    <w:tbl>
      <w:tblPr>
        <w:tblStyle w:val="Table"/>
        <w:tblW w:type="auto" w:w="0"/>
        <w:tblLook w:firstRow="1" w:lastRow="0" w:firstColumn="0" w:lastColumn="0" w:noHBand="0" w:noVBand="0" w:val="0020"/>
        <w:tblCaption w:val="Tabela 8: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9</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9: Assuntos mais comuns</w:t>
      </w:r>
    </w:p>
    <w:tbl>
      <w:tblPr>
        <w:tblStyle w:val="Table"/>
        <w:tblW w:type="pct" w:w="5000"/>
        <w:tblLook w:firstRow="1" w:lastRow="0" w:firstColumn="0" w:lastColumn="0" w:noHBand="0" w:noVBand="0" w:val="0020"/>
        <w:tblCaption w:val="Tabela 9: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10</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10: Faixas de valores</w:t>
      </w:r>
    </w:p>
    <w:tbl>
      <w:tblPr>
        <w:tblStyle w:val="Table"/>
        <w:tblW w:type="auto" w:w="0"/>
        <w:tblLook w:firstRow="1" w:lastRow="0" w:firstColumn="0" w:lastColumn="0" w:noHBand="0" w:noVBand="0" w:val="0020"/>
        <w:tblCaption w:val="Tabela 10: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ra">
        <w:r>
          <w:rPr>
            <w:rStyle w:val="Hyperlink"/>
          </w:rPr>
          <w:t xml:space="preserve">Tabela 11</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0" w:name="tbl-vara"/>
    <w:p>
      <w:pPr>
        <w:pStyle w:val="TableCaption"/>
      </w:pPr>
      <w:r>
        <w:t xml:space="preserve">Tabela 11: Quantidade de processos por vara</w:t>
      </w:r>
    </w:p>
    <w:tbl>
      <w:tblPr>
        <w:tblStyle w:val="Table"/>
        <w:tblW w:type="pct" w:w="5000"/>
        <w:tblLook w:firstRow="1" w:lastRow="0" w:firstColumn="0" w:lastColumn="0" w:noHBand="0" w:noVBand="0" w:val="0020"/>
        <w:tblCaption w:val="Tabela 11: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0"/>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44" w:name="fig-no-tempo"/>
          <w:p>
            <w:pPr>
              <w:pStyle w:val="Figure"/>
              <w:jc w:val="center"/>
            </w:pPr>
            <w:r>
              <w:drawing>
                <wp:inline>
                  <wp:extent cx="5943600" cy="3396342"/>
                  <wp:effectExtent b="0" l="0" r="0" t="0"/>
                  <wp:docPr descr="" title="" id="42" name="Picture"/>
                  <a:graphic>
                    <a:graphicData uri="http://schemas.openxmlformats.org/drawingml/2006/picture">
                      <pic:pic>
                        <pic:nvPicPr>
                          <pic:cNvPr descr="relatorio_files/figure-docx/fig-no-tempo-1.png" id="43"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4"/>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8" w:name="fig-no-tempo-categoria"/>
          <w:p>
            <w:pPr>
              <w:pStyle w:val="Figure"/>
              <w:jc w:val="center"/>
            </w:pPr>
            <w:r>
              <w:drawing>
                <wp:inline>
                  <wp:extent cx="5943600" cy="3396342"/>
                  <wp:effectExtent b="0" l="0" r="0" t="0"/>
                  <wp:docPr descr="" title="" id="46" name="Picture"/>
                  <a:graphic>
                    <a:graphicData uri="http://schemas.openxmlformats.org/drawingml/2006/picture">
                      <pic:pic>
                        <pic:nvPicPr>
                          <pic:cNvPr descr="relatorio_files/figure-docx/fig-no-tempo-categoria-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8"/>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bookmarkStart w:id="49" w:name="tbl-resultado"/>
    <w:p>
      <w:pPr>
        <w:pStyle w:val="TableCaption"/>
      </w:pPr>
      <w:r>
        <w:t xml:space="preserve">Tabela 12: Resultados dos processos por categoria</w:t>
      </w:r>
    </w:p>
    <w:tbl>
      <w:tblPr>
        <w:tblStyle w:val="Table"/>
        <w:tblW w:type="pct" w:w="5000"/>
        <w:tblLook w:firstRow="1" w:lastRow="0" w:firstColumn="0" w:lastColumn="0" w:noHBand="0" w:noVBand="0" w:val="0020"/>
        <w:tblCaption w:val="Tabela 12: Resultados dos processos por categoria"/>
      </w:tblPr>
      <w:tblGrid>
        <w:gridCol w:w="1267"/>
        <w:gridCol w:w="950"/>
        <w:gridCol w:w="1056"/>
        <w:gridCol w:w="1372"/>
        <w:gridCol w:w="950"/>
        <w:gridCol w:w="1161"/>
        <w:gridCol w:w="1161"/>
      </w:tblGrid>
      <w:tr>
        <w:trPr>
          <w:tblHeader w:val="true"/>
        </w:trPr>
        <w:tc>
          <w:tcPr/>
          <w:p>
            <w:pPr>
              <w:pStyle w:val="Compact"/>
              <w:jc w:val="left"/>
            </w:pPr>
            <w:r>
              <w:t xml:space="preserve">Categoria</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(33%)</w:t>
            </w:r>
          </w:p>
        </w:tc>
      </w:tr>
      <w:tr>
        <w:tc>
          <w:tcPr/>
          <w:p>
            <w:pPr>
              <w:pStyle w:val="Compact"/>
              <w:jc w:val="left"/>
            </w:pPr>
            <w:r>
              <w:t xml:space="preserve">Cautelar</w:t>
            </w:r>
          </w:p>
        </w:tc>
        <w:tc>
          <w:tcPr/>
          <w:p>
            <w:pPr>
              <w:pStyle w:val="Compact"/>
              <w:jc w:val="left"/>
            </w:pPr>
            <w:r>
              <w:t xml:space="preserve">9 (14%)</w:t>
            </w:r>
          </w:p>
        </w:tc>
        <w:tc>
          <w:tcPr/>
          <w:p>
            <w:pPr>
              <w:pStyle w:val="Compact"/>
              <w:jc w:val="left"/>
            </w:pPr>
            <w:r>
              <w:t xml:space="preserve">40 (63%)</w:t>
            </w:r>
          </w:p>
        </w:tc>
        <w:tc>
          <w:tcPr/>
          <w:p>
            <w:pPr>
              <w:pStyle w:val="Compact"/>
              <w:jc w:val="left"/>
            </w:pPr>
            <w:r>
              <w:t xml:space="preserve">10 (16%)</w:t>
            </w:r>
          </w:p>
        </w:tc>
        <w:tc>
          <w:tcPr/>
          <w:p>
            <w:pPr>
              <w:pStyle w:val="Compact"/>
              <w:jc w:val="left"/>
            </w:pPr>
            <w:r>
              <w:t xml:space="preserve">0 (0%)</w:t>
            </w:r>
          </w:p>
        </w:tc>
        <w:tc>
          <w:tcPr/>
          <w:p>
            <w:pPr>
              <w:pStyle w:val="Compact"/>
              <w:jc w:val="left"/>
            </w:pPr>
            <w:r>
              <w:t xml:space="preserve">4 (6%)</w:t>
            </w:r>
          </w:p>
        </w:tc>
        <w:tc>
          <w:tcPr/>
          <w:p>
            <w:pPr>
              <w:pStyle w:val="Compact"/>
              <w:jc w:val="left"/>
            </w:pPr>
            <w:r>
              <w:t xml:space="preserve">63 (22%)</w:t>
            </w:r>
          </w:p>
        </w:tc>
      </w:tr>
      <w:tr>
        <w:tc>
          <w:tcPr/>
          <w:p>
            <w:pPr>
              <w:pStyle w:val="Compact"/>
              <w:jc w:val="left"/>
            </w:pPr>
            <w:r>
              <w:t xml:space="preserve">Compromisso</w:t>
            </w:r>
          </w:p>
        </w:tc>
        <w:tc>
          <w:tcPr/>
          <w:p>
            <w:pPr>
              <w:pStyle w:val="Compact"/>
              <w:jc w:val="left"/>
            </w:pPr>
            <w:r>
              <w:t xml:space="preserve">0 (0%)</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(16%)</w:t>
            </w:r>
          </w:p>
        </w:tc>
      </w:tr>
      <w:tr>
        <w:tc>
          <w:tcPr/>
          <w:p>
            <w:pPr>
              <w:pStyle w:val="Compact"/>
              <w:jc w:val="left"/>
            </w:pPr>
            <w:r>
              <w:t xml:space="preserve">Cumprimento</w:t>
            </w:r>
          </w:p>
        </w:tc>
        <w:tc>
          <w:tcPr/>
          <w:p>
            <w:pPr>
              <w:pStyle w:val="Compact"/>
              <w:jc w:val="left"/>
            </w:pPr>
            <w:r>
              <w:t xml:space="preserve">30 (40%)</w:t>
            </w:r>
          </w:p>
        </w:tc>
        <w:tc>
          <w:tcPr/>
          <w:p>
            <w:pPr>
              <w:pStyle w:val="Compact"/>
              <w:jc w:val="left"/>
            </w:pPr>
            <w:r>
              <w:t xml:space="preserve">44 (59%)</w:t>
            </w:r>
          </w:p>
        </w:tc>
        <w:tc>
          <w:tcPr/>
          <w:p>
            <w:pPr>
              <w:pStyle w:val="Compact"/>
              <w:jc w:val="left"/>
            </w:pPr>
            <w:r>
              <w:t xml:space="preserve">0 (0%)</w:t>
            </w:r>
          </w:p>
        </w:tc>
        <w:tc>
          <w:tcPr/>
          <w:p>
            <w:pPr>
              <w:pStyle w:val="Compact"/>
              <w:jc w:val="left"/>
            </w:pPr>
            <w:r>
              <w:t xml:space="preserve">1 (1%)</w:t>
            </w:r>
          </w:p>
        </w:tc>
        <w:tc>
          <w:tcPr/>
          <w:p>
            <w:pPr>
              <w:pStyle w:val="Compact"/>
              <w:jc w:val="left"/>
            </w:pPr>
            <w:r>
              <w:t xml:space="preserve">0 (0%)</w:t>
            </w:r>
          </w:p>
        </w:tc>
        <w:tc>
          <w:tcPr/>
          <w:p>
            <w:pPr>
              <w:pStyle w:val="Compact"/>
              <w:jc w:val="left"/>
            </w:pPr>
            <w:r>
              <w:t xml:space="preserve">75 (26%)</w:t>
            </w:r>
          </w:p>
        </w:tc>
      </w:tr>
      <w:tr>
        <w:tc>
          <w:tcPr/>
          <w:p>
            <w:pPr>
              <w:pStyle w:val="Compact"/>
              <w:jc w:val="left"/>
            </w:pPr>
            <w:r>
              <w:t xml:space="preserve">Instauracao</w:t>
            </w:r>
          </w:p>
        </w:tc>
        <w:tc>
          <w:tcPr/>
          <w:p>
            <w:pPr>
              <w:pStyle w:val="Compact"/>
              <w:jc w:val="left"/>
            </w:pPr>
            <w:r>
              <w:t xml:space="preserve">2 (20%)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(80%)</w:t>
            </w:r>
          </w:p>
        </w:tc>
        <w:tc>
          <w:tcPr/>
          <w:p>
            <w:pPr>
              <w:pStyle w:val="Compact"/>
              <w:jc w:val="left"/>
            </w:pPr>
            <w:r>
              <w:t xml:space="preserve">10 (3%)</w:t>
            </w:r>
          </w:p>
        </w:tc>
      </w:tr>
      <w:tr>
        <w:tc>
          <w:tcPr/>
          <w:p>
            <w:pPr>
              <w:pStyle w:val="Compact"/>
              <w:jc w:val="left"/>
            </w:pPr>
            <w:r>
              <w:t xml:space="preserve">Total</w:t>
            </w:r>
          </w:p>
        </w:tc>
        <w:tc>
          <w:tcPr/>
          <w:p>
            <w:pPr>
              <w:pStyle w:val="Compact"/>
              <w:jc w:val="left"/>
            </w:pPr>
            <w:r>
              <w:t xml:space="preserve">43 (15%)</w:t>
            </w:r>
          </w:p>
        </w:tc>
        <w:tc>
          <w:tcPr/>
          <w:p>
            <w:pPr>
              <w:pStyle w:val="Compact"/>
              <w:jc w:val="left"/>
            </w:pPr>
            <w:r>
              <w:t xml:space="preserve">124 (43%)</w:t>
            </w:r>
          </w:p>
        </w:tc>
        <w:tc>
          <w:tcPr/>
          <w:p>
            <w:pPr>
              <w:pStyle w:val="Compact"/>
              <w:jc w:val="left"/>
            </w:pPr>
            <w:r>
              <w:t xml:space="preserve">57 (20%)</w:t>
            </w:r>
          </w:p>
        </w:tc>
        <w:tc>
          <w:tcPr/>
          <w:p>
            <w:pPr>
              <w:pStyle w:val="Compact"/>
              <w:jc w:val="left"/>
            </w:pPr>
            <w:r>
              <w:t xml:space="preserve">22 (8%)</w:t>
            </w:r>
          </w:p>
        </w:tc>
        <w:tc>
          <w:tcPr/>
          <w:p>
            <w:pPr>
              <w:pStyle w:val="Compact"/>
              <w:jc w:val="left"/>
            </w:pPr>
            <w:r>
              <w:t xml:space="preserve">43 (15%)</w:t>
            </w:r>
          </w:p>
        </w:tc>
        <w:tc>
          <w:tcPr/>
          <w:p>
            <w:pPr>
              <w:pStyle w:val="Compact"/>
              <w:jc w:val="left"/>
            </w:pPr>
            <w:r>
              <w:t xml:space="preserve">289 (100%)</w:t>
            </w:r>
          </w:p>
        </w:tc>
      </w:tr>
    </w:tbl>
    <w:bookmarkEnd w:id="49"/>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tblPr>
      <w:tblGrid>
        <w:gridCol w:w="7920"/>
      </w:tblGrid>
      <w:tr>
        <w:tc>
          <w:tcPr/>
          <w:bookmarkStart w:id="53" w:name="fig-resultado-vara"/>
          <w:p>
            <w:pPr>
              <w:pStyle w:val="Figure"/>
              <w:jc w:val="center"/>
            </w:pPr>
            <w:r>
              <w:drawing>
                <wp:inline>
                  <wp:extent cx="5943600" cy="2971800"/>
                  <wp:effectExtent b="0" l="0" r="0" t="0"/>
                  <wp:docPr descr="" title="" id="51" name="Picture"/>
                  <a:graphic>
                    <a:graphicData uri="http://schemas.openxmlformats.org/drawingml/2006/picture">
                      <pic:pic>
                        <pic:nvPicPr>
                          <pic:cNvPr descr="relatorio_files/figure-docx/fig-resultado-vara-1.png" id="52" name="Picture"/>
                          <pic:cNvPicPr>
                            <a:picLocks noChangeArrowheads="1" noChangeAspect="1"/>
                          </pic:cNvPicPr>
                        </pic:nvPicPr>
                        <pic:blipFill>
                          <a:blip r:embed="rId5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3"/>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Os processos mais longos são os de compromisso arbitral, com mediana de quase um ano. Já os processos mais curtos são os de anulação, com mediana de aproximadamente seis meses.</w:t>
      </w:r>
    </w:p>
    <w:bookmarkStart w:id="54" w:name="tbl-tempo"/>
    <w:p>
      <w:pPr>
        <w:pStyle w:val="TableCaption"/>
      </w:pPr>
      <w:r>
        <w:t xml:space="preserve">Tabela 13: Estatísticas descritivas dos tempos dos processos</w:t>
      </w:r>
    </w:p>
    <w:tbl>
      <w:tblPr>
        <w:tblStyle w:val="Table"/>
        <w:tblW w:type="auto" w:w="0"/>
        <w:tblLook w:firstRow="1" w:lastRow="0" w:firstColumn="0" w:lastColumn="0" w:noHBand="0" w:noVBand="0" w:val="0020"/>
        <w:tblCaption w:val="Tabela 13: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4"/>
    <w:bookmarkStart w:id="68" w:name="questões-adicionais"/>
    <w:p>
      <w:pPr>
        <w:pStyle w:val="Ttulo3"/>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56" w:name="X8da85c2549eeab99b34900ea56bce10570b78f4"/>
    <w:p>
      <w:pPr>
        <w:pStyle w:val="Ttulo4"/>
      </w:pPr>
      <w:r>
        <w:t xml:space="preserve">Qual a proporção de resultado para a categoria anulação envolvendo ou não a Unimed?</w:t>
      </w:r>
    </w:p>
    <w:p>
      <w:pPr>
        <w:pStyle w:val="FirstParagraph"/>
      </w:pPr>
      <w:r>
        <w:t xml:space="preserve">A</w:t>
      </w:r>
      <w:r>
        <w:t xml:space="preserve"> </w:t>
      </w:r>
      <w:hyperlink w:anchor="tbl-resultado-unimed">
        <w:r>
          <w:rPr>
            <w:rStyle w:val="Hyperlink"/>
          </w:rPr>
          <w:t xml:space="preserve">Tabela 14</w:t>
        </w:r>
      </w:hyperlink>
      <w:r>
        <w:t xml:space="preserve"> </w:t>
      </w:r>
      <w:r>
        <w:t xml:space="preserve">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bookmarkStart w:id="55" w:name="tbl-resultado-unimed"/>
    <w:p>
      <w:pPr>
        <w:pStyle w:val="TableCaption"/>
      </w:pPr>
      <w:r>
        <w:t xml:space="preserve">Tabela 14: Resultados dos processos de anulação pela existência ou não da Unimed como parte</w:t>
      </w:r>
    </w:p>
    <w:tbl>
      <w:tblPr>
        <w:tblStyle w:val="Table"/>
        <w:tblW w:type="pct" w:w="5000"/>
        <w:tblLook w:firstRow="1" w:lastRow="0" w:firstColumn="0" w:lastColumn="0" w:noHBand="0" w:noVBand="0" w:val="0020"/>
        <w:tblCaption w:val="Tabela 14: Resultados dos processos de anulação pela existência ou não da Unimed como parte"/>
      </w:tblPr>
      <w:tblGrid>
        <w:gridCol w:w="852"/>
        <w:gridCol w:w="852"/>
        <w:gridCol w:w="974"/>
        <w:gridCol w:w="1584"/>
        <w:gridCol w:w="1096"/>
        <w:gridCol w:w="1340"/>
        <w:gridCol w:w="1218"/>
      </w:tblGrid>
      <w:tr>
        <w:trPr>
          <w:tblHeader w:val="true"/>
        </w:trPr>
        <w:tc>
          <w:tcPr/>
          <w:p>
            <w:pPr>
              <w:pStyle w:val="Compact"/>
              <w:jc w:val="left"/>
            </w:pPr>
            <w:r>
              <w:t xml:space="preserve">Unimed</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Não</w:t>
            </w:r>
          </w:p>
        </w:tc>
        <w:tc>
          <w:tcPr/>
          <w:p>
            <w:pPr>
              <w:pStyle w:val="Compact"/>
              <w:jc w:val="left"/>
            </w:pPr>
            <w:r>
              <w:t xml:space="preserve">2 (5%)</w:t>
            </w:r>
          </w:p>
        </w:tc>
        <w:tc>
          <w:tcPr/>
          <w:p>
            <w:pPr>
              <w:pStyle w:val="Compact"/>
              <w:jc w:val="left"/>
            </w:pPr>
            <w:r>
              <w:t xml:space="preserve">6 (16%)</w:t>
            </w:r>
          </w:p>
        </w:tc>
        <w:tc>
          <w:tcPr/>
          <w:p>
            <w:pPr>
              <w:pStyle w:val="Compact"/>
              <w:jc w:val="left"/>
            </w:pPr>
            <w:r>
              <w:t xml:space="preserve">23 (62%)</w:t>
            </w:r>
          </w:p>
        </w:tc>
        <w:tc>
          <w:tcPr/>
          <w:p>
            <w:pPr>
              <w:pStyle w:val="Compact"/>
              <w:jc w:val="left"/>
            </w:pPr>
            <w:r>
              <w:t xml:space="preserve">2 (5%)</w:t>
            </w:r>
          </w:p>
        </w:tc>
        <w:tc>
          <w:tcPr/>
          <w:p>
            <w:pPr>
              <w:pStyle w:val="Compact"/>
              <w:jc w:val="left"/>
            </w:pPr>
            <w:r>
              <w:t xml:space="preserve">4 (11%)</w:t>
            </w:r>
          </w:p>
        </w:tc>
        <w:tc>
          <w:tcPr/>
          <w:p>
            <w:pPr>
              <w:pStyle w:val="Compact"/>
              <w:jc w:val="left"/>
            </w:pPr>
            <w:r>
              <w:t xml:space="preserve">37 (39%)</w:t>
            </w:r>
          </w:p>
        </w:tc>
      </w:tr>
      <w:tr>
        <w:tc>
          <w:tcPr/>
          <w:p>
            <w:pPr>
              <w:pStyle w:val="Compact"/>
              <w:jc w:val="left"/>
            </w:pPr>
            <w:r>
              <w:t xml:space="preserve">Sim</w:t>
            </w:r>
          </w:p>
        </w:tc>
        <w:tc>
          <w:tcPr/>
          <w:p>
            <w:pPr>
              <w:pStyle w:val="Compact"/>
              <w:jc w:val="left"/>
            </w:pPr>
            <w:r>
              <w:t xml:space="preserve">0 (0%)</w:t>
            </w:r>
          </w:p>
        </w:tc>
        <w:tc>
          <w:tcPr/>
          <w:p>
            <w:pPr>
              <w:pStyle w:val="Compact"/>
              <w:jc w:val="left"/>
            </w:pPr>
            <w:r>
              <w:t xml:space="preserve">0 (0%)</w:t>
            </w:r>
          </w:p>
        </w:tc>
        <w:tc>
          <w:tcPr/>
          <w:p>
            <w:pPr>
              <w:pStyle w:val="Compact"/>
              <w:jc w:val="left"/>
            </w:pPr>
            <w:r>
              <w:t xml:space="preserve">23 (40%)</w:t>
            </w:r>
          </w:p>
        </w:tc>
        <w:tc>
          <w:tcPr/>
          <w:p>
            <w:pPr>
              <w:pStyle w:val="Compact"/>
              <w:jc w:val="left"/>
            </w:pPr>
            <w:r>
              <w:t xml:space="preserve">14 (24%)</w:t>
            </w:r>
          </w:p>
        </w:tc>
        <w:tc>
          <w:tcPr/>
          <w:p>
            <w:pPr>
              <w:pStyle w:val="Compact"/>
              <w:jc w:val="left"/>
            </w:pPr>
            <w:r>
              <w:t xml:space="preserve">21 (36%)</w:t>
            </w:r>
          </w:p>
        </w:tc>
        <w:tc>
          <w:tcPr/>
          <w:p>
            <w:pPr>
              <w:pStyle w:val="Compact"/>
              <w:jc w:val="left"/>
            </w:pPr>
            <w:r>
              <w:t xml:space="preserve">58 (61%)</w:t>
            </w:r>
          </w:p>
        </w:tc>
      </w:tr>
      <w:tr>
        <w:tc>
          <w:tcPr/>
          <w:p>
            <w:pPr>
              <w:pStyle w:val="Compact"/>
              <w:jc w:val="left"/>
            </w:pPr>
            <w:r>
              <w:t xml:space="preserve">Total</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(100%)</w:t>
            </w:r>
          </w:p>
        </w:tc>
      </w:tr>
    </w:tbl>
    <w:bookmarkEnd w:id="55"/>
    <w:bookmarkEnd w:id="56"/>
    <w:bookmarkStart w:id="58" w:name="X92fcf6fc05e51d960c4c267d1e3e4d3dbdb5043"/>
    <w:p>
      <w:pPr>
        <w:pStyle w:val="Ttulo4"/>
      </w:pPr>
      <w:r>
        <w:t xml:space="preserve">Qual o percentual de liminares deferidas na categoria de ação cautelar?</w:t>
      </w:r>
    </w:p>
    <w:p>
      <w:pPr>
        <w:pStyle w:val="FirstParagraph"/>
      </w:pPr>
      <w:r>
        <w:t xml:space="preserve">A base contem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quase metade das liminares não são concedias. Importante destacar que, em 6 casos, a decisão liminar não foi encontrada.</w:t>
      </w:r>
    </w:p>
    <w:bookmarkStart w:id="57"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47.6%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31.7%</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11.1%</w:t>
            </w:r>
          </w:p>
        </w:tc>
      </w:tr>
      <w:tr>
        <w:tc>
          <w:tcPr/>
          <w:p>
            <w:pPr>
              <w:pStyle w:val="Compact"/>
              <w:jc w:val="left"/>
            </w:pPr>
            <w:r>
              <w:t xml:space="preserve">(Vazio)</w:t>
            </w:r>
          </w:p>
        </w:tc>
        <w:tc>
          <w:tcPr/>
          <w:p>
            <w:pPr>
              <w:pStyle w:val="Compact"/>
              <w:jc w:val="right"/>
            </w:pPr>
            <w:r>
              <w:t xml:space="preserve">6</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63</w:t>
            </w:r>
          </w:p>
        </w:tc>
        <w:tc>
          <w:tcPr/>
          <w:p>
            <w:pPr>
              <w:pStyle w:val="Compact"/>
              <w:jc w:val="right"/>
            </w:pPr>
            <w:r>
              <w:t xml:space="preserve">100.0%</w:t>
            </w:r>
          </w:p>
        </w:tc>
      </w:tr>
    </w:tbl>
    <w:bookmarkEnd w:id="57"/>
    <w:bookmarkEnd w:id="58"/>
    <w:bookmarkStart w:id="60" w:name="X8ff66541b44a794cc6700bee440b07007d9a1e7"/>
    <w:p>
      <w:pPr>
        <w:pStyle w:val="Ttulo4"/>
      </w:pPr>
      <w:r>
        <w:t xml:space="preserve">Qual a média e mediana de valor para cada categoria de ação?</w:t>
      </w:r>
    </w:p>
    <w:p>
      <w:pPr>
        <w:pStyle w:val="FirstParagraph"/>
      </w:pPr>
      <w:r>
        <w:t xml:space="preserve">Finalmente, 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59"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Compromisso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59"/>
    <w:bookmarkEnd w:id="60"/>
    <w:bookmarkStart w:id="65" w:name="Xa4ae9c97ebb39162af9ab83497bccad2859d12c"/>
    <w:p>
      <w:pPr>
        <w:pStyle w:val="Ttulo4"/>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4</w:t>
        </w:r>
      </w:hyperlink>
      <w:r>
        <w:t xml:space="preserve"> </w:t>
      </w:r>
      <w:r>
        <w:t xml:space="preserve">mostra a taxa de casos favoráveis (procedentes, parcialmente procedentes e acordos) em ações anulatórias por ano. Apesar da pequena quantidade de dados, é possível observar que a proporção de decisões favoráveis caiu em 2021 e 2022. Lembrando que a proporção geral de decisões favoráveis em anulatórias é de 45%, como demarcado na linha pontilhada.</w:t>
      </w:r>
    </w:p>
    <w:tbl>
      <w:tblPr>
        <w:tblStyle w:val="Table"/>
        <w:tblW w:type="pct" w:w="5000"/>
        <w:tblLook w:firstRow="0" w:lastRow="0" w:firstColumn="0" w:lastColumn="0" w:noHBand="0" w:noVBand="0" w:val="0000"/>
      </w:tblPr>
      <w:tblGrid>
        <w:gridCol w:w="7920"/>
      </w:tblGrid>
      <w:tr>
        <w:tc>
          <w:tcPr/>
          <w:bookmarkStart w:id="64" w:name="fig-anulacao-no-tempo"/>
          <w:p>
            <w:pPr>
              <w:pStyle w:val="Figure"/>
              <w:jc w:val="center"/>
            </w:pPr>
            <w:r>
              <w:drawing>
                <wp:inline>
                  <wp:extent cx="5943600" cy="3396342"/>
                  <wp:effectExtent b="0" l="0" r="0" t="0"/>
                  <wp:docPr descr="" title="" id="62" name="Picture"/>
                  <a:graphic>
                    <a:graphicData uri="http://schemas.openxmlformats.org/drawingml/2006/picture">
                      <pic:pic>
                        <pic:nvPicPr>
                          <pic:cNvPr descr="relatorio_files/figure-docx/fig-anulacao-no-tempo-1.png" id="63"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Quantidade de decisões por ano</w:t>
            </w:r>
          </w:p>
          <w:bookmarkEnd w:id="64"/>
        </w:tc>
      </w:tr>
    </w:tbl>
    <w:bookmarkEnd w:id="65"/>
    <w:bookmarkStart w:id="67" w:name="segunda-instância-1"/>
    <w:p>
      <w:pPr>
        <w:pStyle w:val="Ttulo4"/>
      </w:pPr>
      <w:r>
        <w:t xml:space="preserve">Segunda instância</w:t>
      </w:r>
    </w:p>
    <w:p>
      <w:pPr>
        <w:pStyle w:val="FirstParagraph"/>
      </w:pPr>
      <w:r>
        <w:t xml:space="preserve">A taxa de recorribilidade estimada é de quase 20%. Isso ocorre porque foram encontrados 57 recursos nos 289 casos estudados. Dividindo as taxas por categoria de processo, encontra-se o resultado da</w:t>
      </w:r>
      <w:r>
        <w:t xml:space="preserve"> </w:t>
      </w:r>
      <w:hyperlink w:anchor="tbl-tx-recorr-categoria">
        <w:r>
          <w:rPr>
            <w:rStyle w:val="Hyperlink"/>
          </w:rPr>
          <w:t xml:space="preserve">Tabela 17</w:t>
        </w:r>
      </w:hyperlink>
      <w:r>
        <w:t xml:space="preserve">. É possível notar que as anulatórias são as que apresentam maior taxa de recorribilidade.</w:t>
      </w:r>
    </w:p>
    <w:bookmarkStart w:id="66" w:name="tbl-tx-recorr-categoria"/>
    <w:p>
      <w:pPr>
        <w:pStyle w:val="TableCaption"/>
      </w:pPr>
      <w:r>
        <w:t xml:space="preserve">Tabela 17: Quantidade e taxa de recorribilidade por categoria.</w:t>
      </w:r>
    </w:p>
    <w:tbl>
      <w:tblPr>
        <w:tblStyle w:val="Table"/>
        <w:tblW w:type="auto" w:w="0"/>
        <w:tblLook w:firstRow="1" w:lastRow="0" w:firstColumn="0" w:lastColumn="0" w:noHBand="0" w:noVBand="0" w:val="0020"/>
        <w:tblCaption w:val="Tabela 17: Quantidade e taxa de recorribilidade por categoria."/>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46</w:t>
            </w:r>
          </w:p>
        </w:tc>
        <w:tc>
          <w:tcPr/>
          <w:p>
            <w:pPr>
              <w:pStyle w:val="Compact"/>
              <w:jc w:val="right"/>
            </w:pPr>
            <w:r>
              <w:t xml:space="preserve">48.4%</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24</w:t>
            </w:r>
          </w:p>
        </w:tc>
        <w:tc>
          <w:tcPr/>
          <w:p>
            <w:pPr>
              <w:pStyle w:val="Compact"/>
              <w:jc w:val="right"/>
            </w:pPr>
            <w:r>
              <w:t xml:space="preserve">38.1%</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21</w:t>
            </w:r>
          </w:p>
        </w:tc>
        <w:tc>
          <w:tcPr/>
          <w:p>
            <w:pPr>
              <w:pStyle w:val="Compact"/>
              <w:jc w:val="right"/>
            </w:pPr>
            <w:r>
              <w:t xml:space="preserve">45.7%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5</w:t>
            </w:r>
          </w:p>
        </w:tc>
        <w:tc>
          <w:tcPr/>
          <w:p>
            <w:pPr>
              <w:pStyle w:val="Compact"/>
              <w:jc w:val="right"/>
            </w:pPr>
            <w:r>
              <w:t xml:space="preserve">6.7%</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2</w:t>
            </w:r>
          </w:p>
        </w:tc>
        <w:tc>
          <w:tcPr/>
          <w:p>
            <w:pPr>
              <w:pStyle w:val="Compact"/>
              <w:jc w:val="right"/>
            </w:pPr>
            <w:r>
              <w:t xml:space="preserve">20.0%</w:t>
            </w:r>
          </w:p>
        </w:tc>
      </w:tr>
    </w:tbl>
    <w:bookmarkEnd w:id="66"/>
    <w:p>
      <w:pPr>
        <w:pStyle w:val="Corpodetexto"/>
      </w:pPr>
      <w:r>
        <w:t xml:space="preserve">Já com relação à taxa de recursos providos, observa-se uma taxa geral de 77% de recursos totalmente providos ou providos em parte. Não foi apresentada uma taxa de recursos providos ou parcialmente providos por categoria por conta da pequena quantidade de dados, que aumenta a variabilidade nas proporções encontradas.</w:t>
      </w:r>
    </w:p>
    <w:p>
      <w:pPr>
        <w:pStyle w:val="Corpodetexto"/>
      </w:pPr>
      <w:r>
        <w:t xml:space="preserve">Com relação à Unimed, observa-se que 31 dos 57 (54%) dos casos com decisão têm relação com a Unimed. A taxa de recursos providos nos casos que envolvem Unimed é de 94%, sendo que 74% dos recursos são providos em parte.</w:t>
      </w:r>
    </w:p>
    <w:p>
      <w:pPr>
        <w:pStyle w:val="Corpodetexto"/>
      </w:pPr>
      <w:r>
        <w:t xml:space="preserve">Finalmente, com relação à reforma da decisão arbitral nas anulatórias, foi identificada uma proporção de 85% (28 de 33 casos). Isso significa que, dos casos que chegaram à segunda instância, a decisão final sobre a sentença arbitral foi de reformar da decisão arbitral, pelo menos em parte.</w:t>
      </w:r>
    </w:p>
    <w:bookmarkEnd w:id="67"/>
    <w:bookmarkEnd w:id="68"/>
    <w:bookmarkEnd w:id="69"/>
    <w:bookmarkStart w:id="72" w:name="referências"/>
    <w:p>
      <w:pPr>
        <w:pStyle w:val="Ttulo2"/>
      </w:pPr>
      <w:r>
        <w:t xml:space="preserve">Referências</w:t>
      </w:r>
    </w:p>
    <w:bookmarkStart w:id="71" w:name="refs"/>
    <w:bookmarkStart w:id="70"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70"/>
    <w:bookmarkEnd w:id="71"/>
    <w:bookmarkEnd w:id="72"/>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8">
    <w:p>
      <w:pPr>
        <w:pStyle w:val="Textodenotaderodap"/>
      </w:pPr>
      <w:r>
        <w:rPr>
          <w:rStyle w:val="Refdenotaderodap"/>
        </w:rPr>
        <w:footnoteRef/>
      </w:r>
      <w:r>
        <w:t xml:space="preserve"> </w:t>
      </w:r>
      <w:r>
        <w:t xml:space="preserve">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 Type="http://schemas.openxmlformats.org/officeDocument/2006/relationships/hyperlink" Id="rId33" Target="https://github.com/abjur/obsArb/raw/main/inst/da_cposg_tidy.xlsx"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 Type="http://schemas.openxmlformats.org/officeDocument/2006/relationships/hyperlink" Id="rId33" Target="https://github.com/abjur/obsArb/raw/main/inst/da_cposg_tid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2023-03-29T12:34:23Z</dcterms:created>
  <dcterms:modified xsi:type="dcterms:W3CDTF">2023-03-29T12:34:23Z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02/12/2022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