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41.png" ContentType="image/png"/>
  <Override PartName="/word/media/rId53.png" ContentType="image/png"/>
  <Override PartName="/word/media/rId67.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2023-09-04</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a compreender o fenômeno jurídico da arbitragem nos tribunais estaduais. Em sua primeira fase, o projeto busca compreender o fluxo dos processos de i) anulação de decisão arbitral, ii) cumprimento de sentença / execução, iii) medida cautelar antecedente à constrituição do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reiterado por diversas vezes.</w:t>
      </w:r>
    </w:p>
    <w:p>
      <w:pPr>
        <w:pStyle w:val="Corpodetexto"/>
      </w:pPr>
      <w:r>
        <w:t xml:space="preserve">Em 30 de maio de 2023, seis meses depois da finalização da coleta dos dados, o TJSP enviou um link para acesso à lista. Infelizmente, no entanto, os dados não puderam ser acessados, pois o link não funcionava. Em resumo, mesmo após muitas tentativas de contato, não foi possível acessar os dados através de ofícios enviados ao TJSP.</w:t>
      </w:r>
    </w:p>
    <w:p>
      <w:pPr>
        <w:pStyle w:val="Corpodetexto"/>
      </w:pPr>
      <w:r>
        <w:t xml:space="preserve">Como consequência, a pesquisa recorreu ao banco de sentenças públicas, o que implicou a obtenção de uma amostra que não abarca a totalidade dos processos existentes no TJSP. Apesar desta limitação, acredita-se que os dados coletados e analisados ainda são valiosos e oferecem resultados significativos sobre o tema. Além de uma quantidade significativa de casos ser pública, as sentenças analisadas apareceram em quantidades muito próximas nas duas principais varas especializadas, indicando um grau de aleatorização.</w:t>
      </w:r>
    </w:p>
    <w:p>
      <w:pPr>
        <w:pStyle w:val="Corpodetexto"/>
      </w:pPr>
      <w:r>
        <w:t xml:space="preserve">É, no entanto, importante levar essa limitação na quantidade de sentenças em consideração ao interpretar os resultados apresentados, em especial no que serefere à quantidade de casos observados, que pode ser de duas ou três vezes menor do que o total geral, bem como nos cuidados em generalizar interpretações ou conclusões a partir dos números.</w:t>
      </w:r>
    </w:p>
    <w:p>
      <w:pPr>
        <w:pStyle w:val="Corpodetexto"/>
      </w:pPr>
      <w:r>
        <w:t xml:space="preserve">Feita essa ressalva, passa-se à metodologia de pesquisa.</w:t>
      </w:r>
    </w:p>
    <w:p>
      <w:pPr>
        <w:pStyle w:val="Corpodetexto"/>
      </w:pPr>
      <w:r>
        <w:t xml:space="preserve">Os dados de processos do TJSP são públicos, mas não são abertos. Isso significa que não há meio fácil de obter uma lista de todos os processos que existem no tribunal a partir de um critério jurídico, geográfico ou temporal.</w:t>
      </w:r>
    </w:p>
    <w:p>
      <w:pPr>
        <w:pStyle w:val="Corpodetexto"/>
      </w:pPr>
      <w:r>
        <w:t xml:space="preserve">O TJSP,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desta pesquisa, portanto, possui 337 processos.</w:t>
      </w:r>
    </w:p>
    <w:p>
      <w:pPr>
        <w:pStyle w:val="Corpodetexto"/>
      </w:pPr>
      <w:r>
        <w:t xml:space="preserve">Neste ponto, algumas ressalvas devem ser apresentadas sobre o volume total de ações.</w:t>
      </w:r>
    </w:p>
    <w:p>
      <w:pPr>
        <w:pStyle w:val="Corpodetexto"/>
      </w:pPr>
      <w:r>
        <w:t xml:space="preserve">Por envolver casos que potencialmente correm em segredo de justiça, é possível que uma parte dos casos não seja acessível através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casos ativos não sentenciados ficaram fora da lista, que pode não detectar tendências ou mudanças mais recentes no perfil desses conflitos.</w:t>
      </w:r>
    </w:p>
    <w:p>
      <w:pPr>
        <w:pStyle w:val="Corpodetexto"/>
      </w:pPr>
      <w:r>
        <w:t xml:space="preserve">De qualquer forma, espera-se que a lista obtida, depois de limpa, possa ser utilizada como amostra aleatória da população de todos os processos relacionados a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10.4%</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10.1%</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Layout w:type="fixed"/>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32.9%</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26.0%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3.5%</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três colunas foram adicionadas após a classificação manual. A primeira é com relação à concessão de liminar em casos de medida cautelar. A segunda decorreu do fato de, na revisão manual, vários casos relacionados à Unimed terem sido detectados. Assim, uma coluna</w:t>
      </w:r>
      <w:r>
        <w:t xml:space="preserve"> </w:t>
      </w:r>
      <w:r>
        <w:rPr>
          <w:rStyle w:val="VerbatimChar"/>
        </w:rPr>
        <w:t xml:space="preserve">unimed</w:t>
      </w:r>
      <w:r>
        <w:t xml:space="preserve"> </w:t>
      </w:r>
      <w:r>
        <w:t xml:space="preserve">foi adicionada para permitir novos filtros de análise. A terceira é a câmara arbitral de origem do processo.</w:t>
      </w:r>
    </w:p>
    <w:p>
      <w:pPr>
        <w:pStyle w:val="Corpodetexto"/>
      </w:pPr>
      <w:r>
        <w:t xml:space="preserve">No final, a base ficou com 289 linhas e 14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procuraram-se os números de processos obtidos na segunda instância. Foram considerados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76" w:name="análise"/>
    <w:p>
      <w:pPr>
        <w:pStyle w:val="Ttulo1"/>
      </w:pPr>
      <w:r>
        <w:t xml:space="preserve">Análise</w:t>
      </w:r>
    </w:p>
    <w:p>
      <w:pPr>
        <w:pStyle w:val="FirstParagraph"/>
      </w:pPr>
      <w:r>
        <w:t xml:space="preserve">Esta seção foi organizada em três subseções: análise geral, análise sobre contratos pontuais e análise sobre contratos relacionais. O motivo da separação é (…MOTIVO…).</w:t>
      </w:r>
    </w:p>
    <w:p>
      <w:pPr>
        <w:pStyle w:val="Corpodetexto"/>
      </w:pPr>
      <w:r>
        <w:t xml:space="preserve">Os casos de contratos relacionais são definidos com o seguintes critérios: i) casos da Unimed (58 casos), ii) casos envolvendo franquia (13 casos) e iii) casos com origem na câmara da AssoHonda (1 caso). Os casos de contratos pontuais são os demais.</w:t>
      </w:r>
    </w:p>
    <w:p>
      <w:pPr>
        <w:pStyle w:val="Corpodetexto"/>
      </w:pPr>
      <w:r>
        <w:t xml:space="preserve">Em todas as subseções, foram incluídas estatísticas descritivas como: tabelas com classe, assunto, faixas de valores, quantidade de processos por câmara arbitral, distribuição entre as duas varas, tempo médio / mediano, volume de decisões ao longo do tempo por categoria. As subseções de contratos pontuais e relacionais receberam análises adicionais.</w:t>
      </w:r>
    </w:p>
    <w:bookmarkStart w:id="46" w:name="análise-geral"/>
    <w:p>
      <w:pPr>
        <w:pStyle w:val="Ttulo2"/>
      </w:pPr>
      <w:r>
        <w:t xml:space="preserve">Análise geral</w:t>
      </w:r>
    </w:p>
    <w:p>
      <w:pPr>
        <w:pStyle w:val="FirstParagraph"/>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relacionados diretamente a arbitragem.</w:t>
      </w:r>
    </w:p>
    <w:bookmarkStart w:id="38" w:name="tbl-assunto"/>
    <w:p>
      <w:pPr>
        <w:pStyle w:val="TableCaption"/>
      </w:pPr>
      <w:r>
        <w:t xml:space="preserve">Tabela 6: Assuntos mais comuns</w:t>
      </w:r>
    </w:p>
    <w:tbl>
      <w:tblPr>
        <w:tblStyle w:val="Table"/>
        <w:tblW w:type="pct" w:w="5000"/>
        <w:tblLook w:firstRow="1" w:lastRow="0" w:firstColumn="0" w:lastColumn="0" w:noHBand="0" w:noVBand="0" w:val="0020"/>
        <w:jc w:val="start"/>
        <w:tblLayout w:type="fixed"/>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ra">
        <w:r>
          <w:rPr>
            <w:rStyle w:val="Hyperlink"/>
          </w:rPr>
          <w:t xml:space="preserve">Tabela 8</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Regiões Administrativas Judiciárias (RAJs).</w:t>
      </w:r>
    </w:p>
    <w:bookmarkStart w:id="40" w:name="tbl-vara"/>
    <w:p>
      <w:pPr>
        <w:pStyle w:val="TableCaption"/>
      </w:pPr>
      <w:r>
        <w:t xml:space="preserve">Tabela 8: Quantidade de processos por vara</w:t>
      </w:r>
    </w:p>
    <w:tbl>
      <w:tblPr>
        <w:tblStyle w:val="Table"/>
        <w:tblW w:type="pct" w:w="5000"/>
        <w:tblLook w:firstRow="1" w:lastRow="0" w:firstColumn="0" w:lastColumn="0" w:noHBand="0" w:noVBand="0" w:val="0020"/>
        <w:jc w:val="start"/>
        <w:tblLayout w:type="fixed"/>
        <w:tblCaption w:val="Tabela 8: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0"/>
    <w:p>
      <w:pPr>
        <w:pStyle w:val="Corpodetexto"/>
      </w:pPr>
      <w:r>
        <w:t xml:space="preserve">A</w:t>
      </w:r>
      <w:r>
        <w:t xml:space="preserve"> </w:t>
      </w:r>
      <w:hyperlink w:anchor="fig-no-tempo-categoria">
        <w:r>
          <w:rPr>
            <w:rStyle w:val="Hyperlink"/>
          </w:rPr>
          <w:t xml:space="preserve">Figura 1</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Layout w:type="fixed"/>
      </w:tblPr>
      <w:tblGrid>
        <w:gridCol w:w="7920"/>
      </w:tblGrid>
      <w:tr>
        <w:tc>
          <w:tcPr/>
          <w:bookmarkStart w:id="44" w:name="fig-no-tempo-categoria"/>
          <w:p>
            <w:pPr>
              <w:jc w:val="center"/>
            </w:pPr>
            <w:r>
              <w:drawing>
                <wp:inline>
                  <wp:extent cx="5969000" cy="3410857"/>
                  <wp:effectExtent b="0" l="0" r="0" t="0"/>
                  <wp:docPr descr="" title="" id="42" name="Picture"/>
                  <a:graphic>
                    <a:graphicData uri="http://schemas.openxmlformats.org/drawingml/2006/picture">
                      <pic:pic>
                        <pic:nvPicPr>
                          <pic:cNvPr descr="relatorio_files/figure-docx/fig-no-tempo-categoria-1.png" id="43" name="Picture"/>
                          <pic:cNvPicPr>
                            <a:picLocks noChangeArrowheads="1" noChangeAspect="1"/>
                          </pic:cNvPicPr>
                        </pic:nvPicPr>
                        <pic:blipFill>
                          <a:blip r:embed="rId41"/>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 e categoria</w:t>
            </w:r>
          </w:p>
          <w:bookmarkEnd w:id="44"/>
        </w:tc>
      </w:tr>
    </w:tbl>
    <w:p>
      <w:pPr>
        <w:pStyle w:val="Corpodetexto"/>
      </w:pPr>
      <w:r>
        <w:t xml:space="preserve">Finalmente, a</w:t>
      </w:r>
      <w:r>
        <w:t xml:space="preserve"> </w:t>
      </w:r>
      <w:hyperlink w:anchor="tbl-tempo">
        <w:r>
          <w:rPr>
            <w:rStyle w:val="Hyperlink"/>
          </w:rPr>
          <w:t xml:space="preserve">Tabela 9</w:t>
        </w:r>
      </w:hyperlink>
      <w:r>
        <w:t xml:space="preserve"> </w:t>
      </w:r>
      <w:r>
        <w:t xml:space="preserve">mostra os tempos médios e medianos, geral e por categoria, em dias. Os processos mais longos são os de convenção arbitral, com mediana de quase um ano. Já os processos mais curtos são os de anulação, com mediana de aproximadamente seis meses.</w:t>
      </w:r>
    </w:p>
    <w:bookmarkStart w:id="45" w:name="tbl-tempo"/>
    <w:p>
      <w:pPr>
        <w:pStyle w:val="TableCaption"/>
      </w:pPr>
      <w:r>
        <w:t xml:space="preserve">Tabela 9: Estatísticas descritivas dos tempos dos processos em dias</w:t>
      </w:r>
    </w:p>
    <w:tbl>
      <w:tblPr>
        <w:tblStyle w:val="Table"/>
        <w:tblW w:type="auto" w:w="0"/>
        <w:tblLook w:firstRow="1" w:lastRow="0" w:firstColumn="0" w:lastColumn="0" w:noHBand="0" w:noVBand="0" w:val="0020"/>
        <w:jc w:val="start"/>
        <w:tblCaption w:val="Tabela 9: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45"/>
    <w:bookmarkEnd w:id="46"/>
    <w:bookmarkStart w:id="60" w:name="contratos-pontuais"/>
    <w:p>
      <w:pPr>
        <w:pStyle w:val="Ttulo2"/>
      </w:pPr>
      <w:r>
        <w:t xml:space="preserve">Contratos Pontuais</w:t>
      </w:r>
    </w:p>
    <w:p>
      <w:pPr>
        <w:pStyle w:val="FirstParagraph"/>
      </w:pPr>
      <w:r>
        <w:t xml:space="preserve">A</w:t>
      </w:r>
      <w:r>
        <w:t xml:space="preserve"> </w:t>
      </w:r>
      <w:hyperlink w:anchor="tbl-classe-pontual">
        <w:r>
          <w:rPr>
            <w:rStyle w:val="Hyperlink"/>
          </w:rPr>
          <w:t xml:space="preserve">Tabela 10</w:t>
        </w:r>
      </w:hyperlink>
      <w:r>
        <w:t xml:space="preserve"> </w:t>
      </w:r>
      <w:r>
        <w:t xml:space="preserve">mostra as classes processuais mais comuns encontradas. A classe mais comum é o cumprimento de sentença relacionado à Lei Arbitral, seguido pelo procedimento comum cível.</w:t>
      </w:r>
    </w:p>
    <w:bookmarkStart w:id="47" w:name="tbl-classe-pontual"/>
    <w:p>
      <w:pPr>
        <w:pStyle w:val="TableCaption"/>
      </w:pPr>
      <w:r>
        <w:t xml:space="preserve">Tabela 10: Classes mais comuns</w:t>
      </w:r>
    </w:p>
    <w:tbl>
      <w:tblPr>
        <w:tblStyle w:val="Table"/>
        <w:tblW w:type="auto" w:w="0"/>
        <w:tblLook w:firstRow="1" w:lastRow="0" w:firstColumn="0" w:lastColumn="0" w:noHBand="0" w:noVBand="0" w:val="0020"/>
        <w:jc w:val="start"/>
        <w:tblCaption w:val="Tabela 10: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Cumprimento de sentença - Lei Arbitral (Lei 9.307/1996)</w:t>
            </w:r>
          </w:p>
        </w:tc>
        <w:tc>
          <w:tcPr/>
          <w:p>
            <w:pPr>
              <w:pStyle w:val="Compact"/>
              <w:jc w:val="right"/>
            </w:pPr>
            <w:r>
              <w:t xml:space="preserve">53</w:t>
            </w:r>
          </w:p>
        </w:tc>
        <w:tc>
          <w:tcPr/>
          <w:p>
            <w:pPr>
              <w:pStyle w:val="Compact"/>
              <w:jc w:val="right"/>
            </w:pPr>
            <w:r>
              <w:t xml:space="preserve">24.4%</w:t>
            </w:r>
          </w:p>
        </w:tc>
      </w:tr>
      <w:tr>
        <w:tc>
          <w:tcPr/>
          <w:p>
            <w:pPr>
              <w:pStyle w:val="Compact"/>
              <w:jc w:val="left"/>
            </w:pPr>
            <w:r>
              <w:t xml:space="preserve">Procedimento Comum Cível</w:t>
            </w:r>
          </w:p>
        </w:tc>
        <w:tc>
          <w:tcPr/>
          <w:p>
            <w:pPr>
              <w:pStyle w:val="Compact"/>
              <w:jc w:val="right"/>
            </w:pPr>
            <w:r>
              <w:t xml:space="preserve">47</w:t>
            </w:r>
          </w:p>
        </w:tc>
        <w:tc>
          <w:tcPr/>
          <w:p>
            <w:pPr>
              <w:pStyle w:val="Compact"/>
              <w:jc w:val="right"/>
            </w:pPr>
            <w:r>
              <w:t xml:space="preserve">21.7%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19.4%</w:t>
            </w:r>
          </w:p>
        </w:tc>
      </w:tr>
      <w:tr>
        <w:tc>
          <w:tcPr/>
          <w:p>
            <w:pPr>
              <w:pStyle w:val="Compact"/>
              <w:jc w:val="left"/>
            </w:pPr>
            <w:r>
              <w:t xml:space="preserve">Convenção Arbitral</w:t>
            </w:r>
          </w:p>
        </w:tc>
        <w:tc>
          <w:tcPr/>
          <w:p>
            <w:pPr>
              <w:pStyle w:val="Compact"/>
              <w:jc w:val="right"/>
            </w:pPr>
            <w:r>
              <w:t xml:space="preserve">23</w:t>
            </w:r>
          </w:p>
        </w:tc>
        <w:tc>
          <w:tcPr/>
          <w:p>
            <w:pPr>
              <w:pStyle w:val="Compact"/>
              <w:jc w:val="right"/>
            </w:pPr>
            <w:r>
              <w:t xml:space="preserve">10.6%</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10.1%</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7.4%</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3.2%</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0.9%</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47"/>
    <w:p>
      <w:pPr>
        <w:pStyle w:val="Corpodetexto"/>
      </w:pPr>
      <w:r>
        <w:t xml:space="preserve">A</w:t>
      </w:r>
      <w:r>
        <w:t xml:space="preserve"> </w:t>
      </w:r>
      <w:hyperlink w:anchor="tbl-assunto-pontual">
        <w:r>
          <w:rPr>
            <w:rStyle w:val="Hyperlink"/>
          </w:rPr>
          <w:t xml:space="preserve">Tabela 11</w:t>
        </w:r>
      </w:hyperlink>
      <w:r>
        <w:t xml:space="preserve"> </w:t>
      </w:r>
      <w:r>
        <w:t xml:space="preserve">mostra os dez assuntos processuais mais comuns encontrados. O assunto mais comum é a sentença arbitral, seguido pela liminar.</w:t>
      </w:r>
    </w:p>
    <w:bookmarkStart w:id="48" w:name="tbl-assunto-pontual"/>
    <w:p>
      <w:pPr>
        <w:pStyle w:val="TableCaption"/>
      </w:pPr>
      <w:r>
        <w:t xml:space="preserve">Tabela 11: Assuntos mais comuns</w:t>
      </w:r>
    </w:p>
    <w:tbl>
      <w:tblPr>
        <w:tblStyle w:val="Table"/>
        <w:tblW w:type="pct" w:w="5000"/>
        <w:tblLook w:firstRow="1" w:lastRow="0" w:firstColumn="0" w:lastColumn="0" w:noHBand="0" w:noVBand="0" w:val="0020"/>
        <w:jc w:val="start"/>
        <w:tblLayout w:type="fixed"/>
        <w:tblCaption w:val="Tabela 11: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27.6%</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20.7%</w:t>
            </w:r>
          </w:p>
        </w:tc>
      </w:tr>
      <w:tr>
        <w:tc>
          <w:tcPr/>
          <w:p>
            <w:pPr>
              <w:pStyle w:val="Compact"/>
              <w:jc w:val="left"/>
            </w:pPr>
            <w:r>
              <w:t xml:space="preserve">Defeito, nulidade ou anulação</w:t>
            </w:r>
          </w:p>
        </w:tc>
        <w:tc>
          <w:tcPr/>
          <w:p>
            <w:pPr>
              <w:pStyle w:val="Compact"/>
              <w:jc w:val="right"/>
            </w:pPr>
            <w:r>
              <w:t xml:space="preserve">33</w:t>
            </w:r>
          </w:p>
        </w:tc>
        <w:tc>
          <w:tcPr/>
          <w:p>
            <w:pPr>
              <w:pStyle w:val="Compact"/>
              <w:jc w:val="right"/>
            </w:pPr>
            <w:r>
              <w:t xml:space="preserve">15.2%</w:t>
            </w:r>
          </w:p>
        </w:tc>
      </w:tr>
      <w:tr>
        <w:tc>
          <w:tcPr/>
          <w:p>
            <w:pPr>
              <w:pStyle w:val="Compact"/>
              <w:jc w:val="left"/>
            </w:pPr>
            <w:r>
              <w:t xml:space="preserve">Outros</w:t>
            </w:r>
          </w:p>
        </w:tc>
        <w:tc>
          <w:tcPr/>
          <w:p>
            <w:pPr>
              <w:pStyle w:val="Compact"/>
              <w:jc w:val="right"/>
            </w:pPr>
            <w:r>
              <w:t xml:space="preserve">33</w:t>
            </w:r>
          </w:p>
        </w:tc>
        <w:tc>
          <w:tcPr/>
          <w:p>
            <w:pPr>
              <w:pStyle w:val="Compact"/>
              <w:jc w:val="right"/>
            </w:pPr>
            <w:r>
              <w:t xml:space="preserve">15.2%</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6.0%</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Anulação de sentença arbitral (Art. 33, Lei nº 9.307/96)</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Dissolução</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Ingresso e Exclusão dos Sócios na Sociedade</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48"/>
    <w:p>
      <w:pPr>
        <w:pStyle w:val="Corpodetexto"/>
      </w:pPr>
      <w:r>
        <w:t xml:space="preserve">A</w:t>
      </w:r>
      <w:r>
        <w:t xml:space="preserve"> </w:t>
      </w:r>
      <w:hyperlink w:anchor="tbl-valor-pontual">
        <w:r>
          <w:rPr>
            <w:rStyle w:val="Hyperlink"/>
          </w:rPr>
          <w:t xml:space="preserve">Tabela 12</w:t>
        </w:r>
      </w:hyperlink>
      <w:r>
        <w:t xml:space="preserve"> </w:t>
      </w:r>
      <w:r>
        <w:t xml:space="preserve">mostra a contagem de processos por faixa de valores de causa. Assim como na análise anterior, existe uma alta assimetria, já que existem vários processos de até 10 mil reais, mas também processos de mais de 10 milhões de reais.</w:t>
      </w:r>
    </w:p>
    <w:bookmarkStart w:id="49" w:name="tbl-valor-pontual"/>
    <w:p>
      <w:pPr>
        <w:pStyle w:val="TableCaption"/>
      </w:pPr>
      <w:r>
        <w:t xml:space="preserve">Tabela 12: Faixas de valores</w:t>
      </w:r>
    </w:p>
    <w:tbl>
      <w:tblPr>
        <w:tblStyle w:val="Table"/>
        <w:tblW w:type="auto" w:w="0"/>
        <w:tblLook w:firstRow="1" w:lastRow="0" w:firstColumn="0" w:lastColumn="0" w:noHBand="0" w:noVBand="0" w:val="0020"/>
        <w:jc w:val="start"/>
        <w:tblCaption w:val="Tabela 12: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97</w:t>
            </w:r>
          </w:p>
        </w:tc>
        <w:tc>
          <w:tcPr/>
          <w:p>
            <w:pPr>
              <w:pStyle w:val="Compact"/>
              <w:jc w:val="right"/>
            </w:pPr>
            <w:r>
              <w:t xml:space="preserve">44.7%</w:t>
            </w:r>
          </w:p>
        </w:tc>
      </w:tr>
      <w:tr>
        <w:tc>
          <w:tcPr/>
          <w:p>
            <w:pPr>
              <w:pStyle w:val="Compact"/>
              <w:jc w:val="left"/>
            </w:pPr>
            <w:r>
              <w:t xml:space="preserve">Entre R$ 10.000 e R$ 100.000</w:t>
            </w:r>
          </w:p>
        </w:tc>
        <w:tc>
          <w:tcPr/>
          <w:p>
            <w:pPr>
              <w:pStyle w:val="Compact"/>
              <w:jc w:val="right"/>
            </w:pPr>
            <w:r>
              <w:t xml:space="preserve">50</w:t>
            </w:r>
          </w:p>
        </w:tc>
        <w:tc>
          <w:tcPr/>
          <w:p>
            <w:pPr>
              <w:pStyle w:val="Compact"/>
              <w:jc w:val="right"/>
            </w:pPr>
            <w:r>
              <w:t xml:space="preserve">23.0%</w:t>
            </w:r>
          </w:p>
        </w:tc>
      </w:tr>
      <w:tr>
        <w:tc>
          <w:tcPr/>
          <w:p>
            <w:pPr>
              <w:pStyle w:val="Compact"/>
              <w:jc w:val="left"/>
            </w:pPr>
            <w:r>
              <w:t xml:space="preserve">Entre R$ 100.000 e R$ 1 milhão</w:t>
            </w:r>
          </w:p>
        </w:tc>
        <w:tc>
          <w:tcPr/>
          <w:p>
            <w:pPr>
              <w:pStyle w:val="Compact"/>
              <w:jc w:val="right"/>
            </w:pPr>
            <w:r>
              <w:t xml:space="preserve">36</w:t>
            </w:r>
          </w:p>
        </w:tc>
        <w:tc>
          <w:tcPr/>
          <w:p>
            <w:pPr>
              <w:pStyle w:val="Compact"/>
              <w:jc w:val="right"/>
            </w:pPr>
            <w:r>
              <w:t xml:space="preserve">16.6%</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7.4%</w:t>
            </w:r>
          </w:p>
        </w:tc>
      </w:tr>
      <w:tr>
        <w:tc>
          <w:tcPr/>
          <w:p>
            <w:pPr>
              <w:pStyle w:val="Compact"/>
              <w:jc w:val="left"/>
            </w:pPr>
            <w:r>
              <w:t xml:space="preserve">R$ 10 milhões ou mais</w:t>
            </w:r>
          </w:p>
        </w:tc>
        <w:tc>
          <w:tcPr/>
          <w:p>
            <w:pPr>
              <w:pStyle w:val="Compact"/>
              <w:jc w:val="right"/>
            </w:pPr>
            <w:r>
              <w:t xml:space="preserve">17</w:t>
            </w:r>
          </w:p>
        </w:tc>
        <w:tc>
          <w:tcPr/>
          <w:p>
            <w:pPr>
              <w:pStyle w:val="Compact"/>
              <w:jc w:val="right"/>
            </w:pPr>
            <w:r>
              <w:t xml:space="preserve">7.8%</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49"/>
    <w:p>
      <w:pPr>
        <w:pStyle w:val="Corpodetexto"/>
      </w:pPr>
      <w:r>
        <w:t xml:space="preserve">A</w:t>
      </w:r>
      <w:r>
        <w:t xml:space="preserve"> </w:t>
      </w:r>
      <w:hyperlink w:anchor="tbl-valor-anulatoria-pontual">
        <w:r>
          <w:rPr>
            <w:rStyle w:val="Hyperlink"/>
          </w:rPr>
          <w:t xml:space="preserve">Tabela 13</w:t>
        </w:r>
      </w:hyperlink>
      <w:r>
        <w:t xml:space="preserve"> </w:t>
      </w:r>
      <w:r>
        <w:t xml:space="preserve">mostra a contagem de processos por faixa de valores de causa nas anulatórias em contratos pontuais. Mais da metade dos processos estão na faixa de até 100 mil reais.</w:t>
      </w:r>
    </w:p>
    <w:bookmarkStart w:id="50" w:name="tbl-valor-anulatoria-pontual"/>
    <w:p>
      <w:pPr>
        <w:pStyle w:val="TableCaption"/>
      </w:pPr>
      <w:r>
        <w:t xml:space="preserve">Tabela 13: Faixas de valores nas anulatórias</w:t>
      </w:r>
    </w:p>
    <w:tbl>
      <w:tblPr>
        <w:tblStyle w:val="Table"/>
        <w:tblW w:type="auto" w:w="0"/>
        <w:tblLook w:firstRow="1" w:lastRow="0" w:firstColumn="0" w:lastColumn="0" w:noHBand="0" w:noVBand="0" w:val="0020"/>
        <w:jc w:val="start"/>
        <w:tblCaption w:val="Tabela 13: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12</w:t>
            </w:r>
          </w:p>
        </w:tc>
        <w:tc>
          <w:tcPr/>
          <w:p>
            <w:pPr>
              <w:pStyle w:val="Compact"/>
              <w:jc w:val="right"/>
            </w:pPr>
            <w:r>
              <w:t xml:space="preserve">34.3%</w:t>
            </w:r>
          </w:p>
        </w:tc>
      </w:tr>
      <w:tr>
        <w:tc>
          <w:tcPr/>
          <w:p>
            <w:pPr>
              <w:pStyle w:val="Compact"/>
              <w:jc w:val="left"/>
            </w:pPr>
            <w:r>
              <w:t xml:space="preserve">Entre R$ 10.000 e R$ 100.000</w:t>
            </w:r>
          </w:p>
        </w:tc>
        <w:tc>
          <w:tcPr/>
          <w:p>
            <w:pPr>
              <w:pStyle w:val="Compact"/>
              <w:jc w:val="right"/>
            </w:pPr>
            <w:r>
              <w:t xml:space="preserve">7</w:t>
            </w:r>
          </w:p>
        </w:tc>
        <w:tc>
          <w:tcPr/>
          <w:p>
            <w:pPr>
              <w:pStyle w:val="Compact"/>
              <w:jc w:val="right"/>
            </w:pPr>
            <w:r>
              <w:t xml:space="preserve">20.0%</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20.0%</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14.3%</w:t>
            </w:r>
          </w:p>
        </w:tc>
      </w:tr>
      <w:tr>
        <w:tc>
          <w:tcPr/>
          <w:p>
            <w:pPr>
              <w:pStyle w:val="Compact"/>
              <w:jc w:val="left"/>
            </w:pPr>
            <w:r>
              <w:t xml:space="preserve">Total</w:t>
            </w:r>
          </w:p>
        </w:tc>
        <w:tc>
          <w:tcPr/>
          <w:p>
            <w:pPr>
              <w:pStyle w:val="Compact"/>
              <w:jc w:val="right"/>
            </w:pPr>
            <w:r>
              <w:t xml:space="preserve">35</w:t>
            </w:r>
          </w:p>
        </w:tc>
        <w:tc>
          <w:tcPr/>
          <w:p>
            <w:pPr>
              <w:pStyle w:val="Compact"/>
              <w:jc w:val="right"/>
            </w:pPr>
            <w:r>
              <w:t xml:space="preserve">100.0%</w:t>
            </w:r>
          </w:p>
        </w:tc>
      </w:tr>
    </w:tbl>
    <w:bookmarkEnd w:id="50"/>
    <w:p>
      <w:pPr>
        <w:pStyle w:val="Corpodetexto"/>
      </w:pPr>
      <w:r>
        <w:t xml:space="preserve">A</w:t>
      </w:r>
      <w:r>
        <w:t xml:space="preserve"> </w:t>
      </w:r>
      <w:hyperlink w:anchor="tbl-vara-pontual">
        <w:r>
          <w:rPr>
            <w:rStyle w:val="Hyperlink"/>
          </w:rPr>
          <w:t xml:space="preserve">Tabela 14</w:t>
        </w:r>
      </w:hyperlink>
      <w:r>
        <w:t xml:space="preserve"> </w:t>
      </w:r>
      <w:r>
        <w:t xml:space="preserve">mostra a contagem de processos por vara. A proporção é similar ao encontrado na</w:t>
      </w:r>
      <w:r>
        <w:t xml:space="preserve"> </w:t>
      </w:r>
      <w:hyperlink w:anchor="tbl-vara">
        <w:r>
          <w:rPr>
            <w:rStyle w:val="Hyperlink"/>
          </w:rPr>
          <w:t xml:space="preserve">Tabela 8</w:t>
        </w:r>
      </w:hyperlink>
      <w:r>
        <w:t xml:space="preserve">.</w:t>
      </w:r>
    </w:p>
    <w:bookmarkStart w:id="51" w:name="tbl-vara-pontual"/>
    <w:p>
      <w:pPr>
        <w:pStyle w:val="TableCaption"/>
      </w:pPr>
      <w:r>
        <w:t xml:space="preserve">Tabela 14: Quantidade de processos por vara</w:t>
      </w:r>
    </w:p>
    <w:tbl>
      <w:tblPr>
        <w:tblStyle w:val="Table"/>
        <w:tblW w:type="pct" w:w="5000"/>
        <w:tblLook w:firstRow="1" w:lastRow="0" w:firstColumn="0" w:lastColumn="0" w:noHBand="0" w:noVBand="0" w:val="0020"/>
        <w:jc w:val="start"/>
        <w:tblLayout w:type="fixed"/>
        <w:tblCaption w:val="Tabela 14: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105</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100</w:t>
            </w:r>
          </w:p>
        </w:tc>
        <w:tc>
          <w:tcPr/>
          <w:p>
            <w:pPr>
              <w:pStyle w:val="Compact"/>
              <w:jc w:val="right"/>
            </w:pPr>
            <w:r>
              <w:t xml:space="preserve">46.1%</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51"/>
    <w:p>
      <w:pPr>
        <w:pStyle w:val="Corpodetexto"/>
      </w:pPr>
      <w:r>
        <w:t xml:space="preserve">A</w:t>
      </w:r>
      <w:r>
        <w:t xml:space="preserve"> </w:t>
      </w:r>
      <w:hyperlink w:anchor="tbl-camara-origem-pontual">
        <w:r>
          <w:rPr>
            <w:rStyle w:val="Hyperlink"/>
          </w:rPr>
          <w:t xml:space="preserve">Tabela 15</w:t>
        </w:r>
      </w:hyperlink>
      <w:r>
        <w:t xml:space="preserve"> </w:t>
      </w:r>
      <w:r>
        <w:t xml:space="preserve">mostra a contagem e proporção de processos por câmara arbitral de origem nas anulatórias. Mais de um quarto dos casos são do CAM-CCBC.</w:t>
      </w:r>
    </w:p>
    <w:bookmarkStart w:id="52" w:name="tbl-camara-origem-pontual"/>
    <w:p>
      <w:pPr>
        <w:pStyle w:val="TableCaption"/>
      </w:pPr>
      <w:r>
        <w:t xml:space="preserve">Tabela 15: Quantidade de processos por câmara arbitral de origem</w:t>
      </w:r>
    </w:p>
    <w:tbl>
      <w:tblPr>
        <w:tblStyle w:val="Table"/>
        <w:tblW w:type="pct" w:w="5000"/>
        <w:tblLook w:firstRow="1" w:lastRow="0" w:firstColumn="0" w:lastColumn="0" w:noHBand="0" w:noVBand="0" w:val="0020"/>
        <w:jc w:val="start"/>
        <w:tblLayout w:type="fixed"/>
        <w:tblCaption w:val="Tabela 15: Quantidade de processos por câmara arbitral de origem"/>
      </w:tblPr>
      <w:tblGrid>
        <w:gridCol w:w="7059"/>
        <w:gridCol w:w="258"/>
        <w:gridCol w:w="60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Centro de Arbitragem e Mediação da Câmara de Comércio Brasil-Canadá CAM-CCBC</w:t>
            </w:r>
          </w:p>
        </w:tc>
        <w:tc>
          <w:tcPr/>
          <w:p>
            <w:pPr>
              <w:pStyle w:val="Compact"/>
              <w:jc w:val="right"/>
            </w:pPr>
            <w:r>
              <w:t xml:space="preserve">9</w:t>
            </w:r>
          </w:p>
        </w:tc>
        <w:tc>
          <w:tcPr/>
          <w:p>
            <w:pPr>
              <w:pStyle w:val="Compact"/>
              <w:jc w:val="right"/>
            </w:pPr>
            <w:r>
              <w:t xml:space="preserve">25.7%</w:t>
            </w:r>
          </w:p>
        </w:tc>
      </w:tr>
      <w:tr>
        <w:tc>
          <w:tcPr/>
          <w:p>
            <w:pPr>
              <w:pStyle w:val="Compact"/>
              <w:jc w:val="left"/>
            </w:pPr>
            <w:r>
              <w:t xml:space="preserve">Centro de Mediação e Arbitragem de São Paulo – TASP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Conselho Arbitral do Estado de São Paulo - CAESP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Câmara de Conciliação, Mediação e Arbitragem CIESP/FIESP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Câmara de Arbitragem do Mercado</w:t>
            </w:r>
          </w:p>
        </w:tc>
        <w:tc>
          <w:tcPr/>
          <w:p>
            <w:pPr>
              <w:pStyle w:val="Compact"/>
              <w:jc w:val="right"/>
            </w:pPr>
            <w:r>
              <w:t xml:space="preserve">2</w:t>
            </w:r>
          </w:p>
        </w:tc>
        <w:tc>
          <w:tcPr/>
          <w:p>
            <w:pPr>
              <w:pStyle w:val="Compact"/>
              <w:jc w:val="right"/>
            </w:pPr>
            <w:r>
              <w:t xml:space="preserve">5.7%</w:t>
            </w:r>
          </w:p>
        </w:tc>
      </w:tr>
      <w:tr>
        <w:tc>
          <w:tcPr/>
          <w:p>
            <w:pPr>
              <w:pStyle w:val="Compact"/>
              <w:jc w:val="left"/>
            </w:pPr>
            <w:r>
              <w:t xml:space="preserve">ARBITRIUM – Câmarade Conciliação 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CCI</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Centro Brasileiro de Mediação e Arbitragem –CBMA</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Centro de Arbitragem EIRELI</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Corte Internacional de Mediação Conciliação e Arbitragem Extrajudicial -ARBITRARE</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Arbitral CAMVALE - Câmara de Arbitragem e Mediação do Vale do Paraíba</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da Bolsa Brasileira de Mercadorias</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de Mediação, Conciliação e Arbitragem de Osasco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IMAESP – Instituto de Mediação do Estado de São Paulo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Instituto Brasileiro deMediação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TNA – Tribunal Nacional de 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Tribunal Arbitral e Mediação de São Paulo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Total</w:t>
            </w:r>
          </w:p>
        </w:tc>
        <w:tc>
          <w:tcPr/>
          <w:p>
            <w:pPr>
              <w:pStyle w:val="Compact"/>
              <w:jc w:val="right"/>
            </w:pPr>
            <w:r>
              <w:t xml:space="preserve">35</w:t>
            </w:r>
          </w:p>
        </w:tc>
        <w:tc>
          <w:tcPr/>
          <w:p>
            <w:pPr>
              <w:pStyle w:val="Compact"/>
              <w:jc w:val="right"/>
            </w:pPr>
            <w:r>
              <w:t xml:space="preserve">100.0%</w:t>
            </w:r>
          </w:p>
        </w:tc>
      </w:tr>
    </w:tbl>
    <w:bookmarkEnd w:id="52"/>
    <w:p>
      <w:pPr>
        <w:pStyle w:val="Corpodetexto"/>
      </w:pPr>
      <w:r>
        <w:t xml:space="preserve">A</w:t>
      </w:r>
      <w:r>
        <w:t xml:space="preserve"> </w:t>
      </w:r>
      <w:hyperlink w:anchor="fig-no-tempo-categoria-pontual">
        <w:r>
          <w:rPr>
            <w:rStyle w:val="Hyperlink"/>
          </w:rPr>
          <w:t xml:space="preserve">Figura 2</w:t>
        </w:r>
      </w:hyperlink>
      <w:r>
        <w:t xml:space="preserve"> </w:t>
      </w:r>
      <w:r>
        <w:t xml:space="preserve">mostra o volume de decisões ao longo do tempo, separando por categoria de caso. É possível observar um crescimento de casos nos anos de 2021 e 2022.</w:t>
      </w:r>
    </w:p>
    <w:tbl>
      <w:tblPr>
        <w:tblStyle w:val="Table"/>
        <w:tblW w:type="pct" w:w="5000"/>
        <w:tblLook w:firstRow="0" w:lastRow="0" w:firstColumn="0" w:lastColumn="0" w:noHBand="0" w:noVBand="0" w:val="0000"/>
        <w:jc w:val="start"/>
        <w:tblLayout w:type="fixed"/>
      </w:tblPr>
      <w:tblGrid>
        <w:gridCol w:w="7920"/>
      </w:tblGrid>
      <w:tr>
        <w:tc>
          <w:tcPr/>
          <w:bookmarkStart w:id="56" w:name="fig-no-tempo-categoria-pontual"/>
          <w:p>
            <w:pPr>
              <w:jc w:val="center"/>
            </w:pPr>
            <w:r>
              <w:drawing>
                <wp:inline>
                  <wp:extent cx="5969000" cy="3410857"/>
                  <wp:effectExtent b="0" l="0" r="0" t="0"/>
                  <wp:docPr descr="" title="" id="54" name="Picture"/>
                  <a:graphic>
                    <a:graphicData uri="http://schemas.openxmlformats.org/drawingml/2006/picture">
                      <pic:pic>
                        <pic:nvPicPr>
                          <pic:cNvPr descr="relatorio_files/figure-docx/fig-no-tempo-categoria-pontual-1.png" id="55" name="Picture"/>
                          <pic:cNvPicPr>
                            <a:picLocks noChangeArrowheads="1" noChangeAspect="1"/>
                          </pic:cNvPicPr>
                        </pic:nvPicPr>
                        <pic:blipFill>
                          <a:blip r:embed="rId53"/>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56"/>
        </w:tc>
      </w:tr>
    </w:tbl>
    <w:p>
      <w:pPr>
        <w:pStyle w:val="Corpodetexto"/>
      </w:pPr>
      <w:r>
        <w:t xml:space="preserve">Em seguida, apresentam-se comparações entre a quantidade de sentenças arbitrais proferidas em arbitragens com sede em São Paulo e a quantidade de anulatórias em contratos pontuais.</w:t>
      </w:r>
    </w:p>
    <w:p>
      <w:pPr>
        <w:pStyle w:val="Corpodetexto"/>
      </w:pPr>
      <w:r>
        <w:t xml:space="preserve">Os dados de sentenças arbitrais foram levantados pela Dra Vera Cecília Monteiro de Barros e gentilmente fornecidos à equipe de pesquisa. Os dados revelam um total de 606 sentenças arbitrais no mesmo período que os dados levantados no TJSP.</w:t>
      </w:r>
    </w:p>
    <w:p>
      <w:pPr>
        <w:pStyle w:val="Corpodetexto"/>
      </w:pPr>
      <w:r>
        <w:t xml:space="preserve">A</w:t>
      </w:r>
      <w:r>
        <w:t xml:space="preserve"> </w:t>
      </w:r>
      <w:hyperlink w:anchor="tbl-sentencas-processos-pontual">
        <w:r>
          <w:rPr>
            <w:rStyle w:val="Hyperlink"/>
          </w:rPr>
          <w:t xml:space="preserve">Tabela 16</w:t>
        </w:r>
      </w:hyperlink>
      <w:r>
        <w:t xml:space="preserve"> </w:t>
      </w:r>
      <w:r>
        <w:t xml:space="preserve">compara a quantidade de sentenças arbitrais e ações anulatórias encontradas na base contratos pontuais. A taxa geral de anulatórias foi de 2.8%.</w:t>
      </w:r>
    </w:p>
    <w:bookmarkStart w:id="57" w:name="tbl-sentencas-processos-pontual"/>
    <w:p>
      <w:pPr>
        <w:pStyle w:val="TableCaption"/>
      </w:pPr>
      <w:r>
        <w:t xml:space="preserve">Tabela 16: Comparação entre quantidade de decisões arbitrais e ações anulatórias</w:t>
      </w:r>
    </w:p>
    <w:tbl>
      <w:tblPr>
        <w:tblStyle w:val="Table"/>
        <w:tblW w:type="pct" w:w="5000"/>
        <w:tblLook w:firstRow="1" w:lastRow="0" w:firstColumn="0" w:lastColumn="0" w:noHBand="0" w:noVBand="0" w:val="0020"/>
        <w:jc w:val="start"/>
        <w:tblLayout w:type="fixed"/>
        <w:tblCaption w:val="Tabela 16: Comparação entre quantidade de decisões arbitrais e ações anulatórias"/>
      </w:tblPr>
      <w:tblGrid>
        <w:gridCol w:w="385"/>
        <w:gridCol w:w="4235"/>
        <w:gridCol w:w="1045"/>
        <w:gridCol w:w="990"/>
        <w:gridCol w:w="1265"/>
      </w:tblGrid>
      <w:tr>
        <w:trPr>
          <w:tblHeader w:val="true"/>
        </w:trPr>
        <w:tc>
          <w:tcPr/>
          <w:p>
            <w:pPr>
              <w:pStyle w:val="Compact"/>
              <w:jc w:val="left"/>
            </w:pPr>
            <w:r>
              <w:t xml:space="preserve">Sigla</w:t>
            </w:r>
          </w:p>
        </w:tc>
        <w:tc>
          <w:tcPr/>
          <w:p>
            <w:pPr>
              <w:pStyle w:val="Compact"/>
              <w:jc w:val="left"/>
            </w:pPr>
            <w:r>
              <w:t xml:space="preserve">Câmara</w:t>
            </w:r>
          </w:p>
        </w:tc>
        <w:tc>
          <w:tcPr/>
          <w:p>
            <w:pPr>
              <w:pStyle w:val="Compact"/>
              <w:jc w:val="right"/>
            </w:pPr>
            <w:r>
              <w:t xml:space="preserve">Decisões arbitrais</w:t>
            </w:r>
          </w:p>
        </w:tc>
        <w:tc>
          <w:tcPr/>
          <w:p>
            <w:pPr>
              <w:pStyle w:val="Compact"/>
              <w:jc w:val="right"/>
            </w:pPr>
            <w:r>
              <w:t xml:space="preserve">Ações anulatórias</w:t>
            </w:r>
          </w:p>
        </w:tc>
        <w:tc>
          <w:tcPr/>
          <w:p>
            <w:pPr>
              <w:pStyle w:val="Compact"/>
              <w:jc w:val="right"/>
            </w:pPr>
            <w:r>
              <w:t xml:space="preserve">Taxa de judicialização</w:t>
            </w:r>
          </w:p>
        </w:tc>
      </w:tr>
      <w:tr>
        <w:tc>
          <w:tcPr/>
          <w:p>
            <w:pPr>
              <w:pStyle w:val="Compact"/>
              <w:jc w:val="left"/>
            </w:pPr>
            <w:r>
              <w:t xml:space="preserve">CCBC</w:t>
            </w:r>
          </w:p>
        </w:tc>
        <w:tc>
          <w:tcPr/>
          <w:p>
            <w:pPr>
              <w:pStyle w:val="Compact"/>
              <w:jc w:val="left"/>
            </w:pPr>
            <w:r>
              <w:t xml:space="preserve">Centro de Arbitragem e Mediação da Câmara de Comércio Brasil-Canadá CAM-CCBC</w:t>
            </w:r>
          </w:p>
        </w:tc>
        <w:tc>
          <w:tcPr/>
          <w:p>
            <w:pPr>
              <w:pStyle w:val="Compact"/>
              <w:jc w:val="right"/>
            </w:pPr>
            <w:r>
              <w:t xml:space="preserve">223</w:t>
            </w:r>
          </w:p>
        </w:tc>
        <w:tc>
          <w:tcPr/>
          <w:p>
            <w:pPr>
              <w:pStyle w:val="Compact"/>
              <w:jc w:val="right"/>
            </w:pPr>
            <w:r>
              <w:t xml:space="preserve">9</w:t>
            </w:r>
          </w:p>
        </w:tc>
        <w:tc>
          <w:tcPr/>
          <w:p>
            <w:pPr>
              <w:pStyle w:val="Compact"/>
              <w:jc w:val="right"/>
            </w:pPr>
            <w:r>
              <w:t xml:space="preserve">4.0%</w:t>
            </w:r>
          </w:p>
        </w:tc>
      </w:tr>
      <w:tr>
        <w:tc>
          <w:tcPr/>
          <w:p>
            <w:pPr>
              <w:pStyle w:val="Compact"/>
              <w:jc w:val="left"/>
            </w:pPr>
            <w:r>
              <w:t xml:space="preserve">FIESP</w:t>
            </w:r>
          </w:p>
        </w:tc>
        <w:tc>
          <w:tcPr/>
          <w:p>
            <w:pPr>
              <w:pStyle w:val="Compact"/>
              <w:jc w:val="left"/>
            </w:pPr>
            <w:r>
              <w:t xml:space="preserve">Câmara de Conciliação, Mediação e Arbitragem CIESP/FIESP</w:t>
            </w:r>
          </w:p>
        </w:tc>
        <w:tc>
          <w:tcPr/>
          <w:p>
            <w:pPr>
              <w:pStyle w:val="Compact"/>
              <w:jc w:val="right"/>
            </w:pPr>
            <w:r>
              <w:t xml:space="preserve">133</w:t>
            </w:r>
          </w:p>
        </w:tc>
        <w:tc>
          <w:tcPr/>
          <w:p>
            <w:pPr>
              <w:pStyle w:val="Compact"/>
              <w:jc w:val="right"/>
            </w:pPr>
            <w:r>
              <w:t xml:space="preserve">4</w:t>
            </w:r>
          </w:p>
        </w:tc>
        <w:tc>
          <w:tcPr/>
          <w:p>
            <w:pPr>
              <w:pStyle w:val="Compact"/>
              <w:jc w:val="right"/>
            </w:pPr>
            <w:r>
              <w:t xml:space="preserve">3.0%</w:t>
            </w:r>
          </w:p>
        </w:tc>
      </w:tr>
      <w:tr>
        <w:tc>
          <w:tcPr/>
          <w:p>
            <w:pPr>
              <w:pStyle w:val="Compact"/>
              <w:jc w:val="left"/>
            </w:pPr>
            <w:r>
              <w:t xml:space="preserve">CAM</w:t>
            </w:r>
          </w:p>
        </w:tc>
        <w:tc>
          <w:tcPr/>
          <w:p>
            <w:pPr>
              <w:pStyle w:val="Compact"/>
              <w:jc w:val="left"/>
            </w:pPr>
            <w:r>
              <w:t xml:space="preserve">Câmara de Arbitragem do Mercado</w:t>
            </w:r>
          </w:p>
        </w:tc>
        <w:tc>
          <w:tcPr/>
          <w:p>
            <w:pPr>
              <w:pStyle w:val="Compact"/>
              <w:jc w:val="right"/>
            </w:pPr>
            <w:r>
              <w:t xml:space="preserve">64</w:t>
            </w:r>
          </w:p>
        </w:tc>
        <w:tc>
          <w:tcPr/>
          <w:p>
            <w:pPr>
              <w:pStyle w:val="Compact"/>
              <w:jc w:val="right"/>
            </w:pPr>
            <w:r>
              <w:t xml:space="preserve">2</w:t>
            </w:r>
          </w:p>
        </w:tc>
        <w:tc>
          <w:tcPr/>
          <w:p>
            <w:pPr>
              <w:pStyle w:val="Compact"/>
              <w:jc w:val="right"/>
            </w:pPr>
            <w:r>
              <w:t xml:space="preserve">3.1%</w:t>
            </w:r>
          </w:p>
        </w:tc>
      </w:tr>
      <w:tr>
        <w:tc>
          <w:tcPr/>
          <w:p>
            <w:pPr>
              <w:pStyle w:val="Compact"/>
              <w:jc w:val="left"/>
            </w:pPr>
            <w:r>
              <w:t xml:space="preserve">FGV</w:t>
            </w:r>
          </w:p>
        </w:tc>
        <w:tc>
          <w:tcPr/>
          <w:p>
            <w:pPr>
              <w:pStyle w:val="Compact"/>
              <w:jc w:val="left"/>
            </w:pPr>
            <w:r>
              <w:t xml:space="preserve">Câmara FGV de Mediação e Arbitragem</w:t>
            </w:r>
          </w:p>
        </w:tc>
        <w:tc>
          <w:tcPr/>
          <w:p>
            <w:pPr>
              <w:pStyle w:val="Compact"/>
              <w:jc w:val="right"/>
            </w:pPr>
            <w:r>
              <w:t xml:space="preserve">54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CCI</w:t>
            </w:r>
          </w:p>
        </w:tc>
        <w:tc>
          <w:tcPr/>
          <w:p>
            <w:pPr>
              <w:pStyle w:val="Compact"/>
              <w:jc w:val="left"/>
            </w:pPr>
            <w:r>
              <w:t xml:space="preserve">Corte Internacional de Arbitragem da Câmara de Comércio Internacional - CCI</w:t>
            </w:r>
          </w:p>
        </w:tc>
        <w:tc>
          <w:tcPr/>
          <w:p>
            <w:pPr>
              <w:pStyle w:val="Compact"/>
              <w:jc w:val="right"/>
            </w:pPr>
            <w:r>
              <w:t xml:space="preserve">47</w:t>
            </w:r>
          </w:p>
        </w:tc>
        <w:tc>
          <w:tcPr/>
          <w:p>
            <w:pPr>
              <w:pStyle w:val="Compact"/>
              <w:jc w:val="right"/>
            </w:pPr>
            <w:r>
              <w:t xml:space="preserve">1</w:t>
            </w:r>
          </w:p>
        </w:tc>
        <w:tc>
          <w:tcPr/>
          <w:p>
            <w:pPr>
              <w:pStyle w:val="Compact"/>
              <w:jc w:val="right"/>
            </w:pPr>
            <w:r>
              <w:t xml:space="preserve">2.1%</w:t>
            </w:r>
          </w:p>
        </w:tc>
      </w:tr>
      <w:tr>
        <w:tc>
          <w:tcPr/>
          <w:p>
            <w:pPr>
              <w:pStyle w:val="Compact"/>
              <w:jc w:val="left"/>
            </w:pPr>
            <w:r>
              <w:t xml:space="preserve">CAMARB</w:t>
            </w:r>
          </w:p>
        </w:tc>
        <w:tc>
          <w:tcPr/>
          <w:p>
            <w:pPr>
              <w:pStyle w:val="Compact"/>
              <w:jc w:val="left"/>
            </w:pPr>
            <w:r>
              <w:t xml:space="preserve">Câmara de Mediação e Arbitragem Empresarial</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AMCHAM</w:t>
            </w:r>
          </w:p>
        </w:tc>
        <w:tc>
          <w:tcPr/>
          <w:p>
            <w:pPr>
              <w:pStyle w:val="Compact"/>
              <w:jc w:val="left"/>
            </w:pPr>
            <w:r>
              <w:t xml:space="preserve">Centro de Arbitragem e Mediação AMCHAM</w:t>
            </w:r>
          </w:p>
        </w:tc>
        <w:tc>
          <w:tcPr/>
          <w:p>
            <w:pPr>
              <w:pStyle w:val="Compact"/>
              <w:jc w:val="right"/>
            </w:pPr>
            <w:r>
              <w:t xml:space="preserve">38</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CBMA</w:t>
            </w:r>
          </w:p>
        </w:tc>
        <w:tc>
          <w:tcPr/>
          <w:p>
            <w:pPr>
              <w:pStyle w:val="Compact"/>
              <w:jc w:val="left"/>
            </w:pPr>
            <w:r>
              <w:t xml:space="preserve">Centro Brasileiro de Mediação e Arbitragem CBMA</w:t>
            </w:r>
          </w:p>
        </w:tc>
        <w:tc>
          <w:tcPr/>
          <w:p>
            <w:pPr>
              <w:pStyle w:val="Compact"/>
              <w:jc w:val="right"/>
            </w:pPr>
            <w:r>
              <w:t xml:space="preserve">2</w:t>
            </w:r>
          </w:p>
        </w:tc>
        <w:tc>
          <w:tcPr/>
          <w:p>
            <w:pPr>
              <w:pStyle w:val="Compact"/>
              <w:jc w:val="right"/>
            </w:pPr>
            <w:r>
              <w:t xml:space="preserve">1</w:t>
            </w:r>
          </w:p>
        </w:tc>
        <w:tc>
          <w:tcPr/>
          <w:p>
            <w:pPr>
              <w:pStyle w:val="Compact"/>
              <w:jc w:val="right"/>
            </w:pPr>
            <w:r>
              <w:t xml:space="preserve">50.0%</w:t>
            </w:r>
          </w:p>
        </w:tc>
      </w:tr>
      <w:tr>
        <w:tc>
          <w:tcPr/>
          <w:p>
            <w:pPr>
              <w:pStyle w:val="Compact"/>
              <w:jc w:val="left"/>
            </w:pPr>
            <w:r>
              <w:t xml:space="preserve">Total</w:t>
            </w:r>
          </w:p>
        </w:tc>
        <w:tc>
          <w:tcPr/>
          <w:p>
            <w:pPr>
              <w:pStyle w:val="Compact"/>
              <w:jc w:val="left"/>
            </w:pPr>
            <w:r>
              <w:t xml:space="preserve">-</w:t>
            </w:r>
          </w:p>
        </w:tc>
        <w:tc>
          <w:tcPr/>
          <w:p>
            <w:pPr>
              <w:pStyle w:val="Compact"/>
              <w:jc w:val="right"/>
            </w:pPr>
            <w:r>
              <w:t xml:space="preserve">606</w:t>
            </w:r>
          </w:p>
        </w:tc>
        <w:tc>
          <w:tcPr/>
          <w:p>
            <w:pPr>
              <w:pStyle w:val="Compact"/>
              <w:jc w:val="right"/>
            </w:pPr>
            <w:r>
              <w:t xml:space="preserve">17</w:t>
            </w:r>
          </w:p>
        </w:tc>
        <w:tc>
          <w:tcPr/>
          <w:p>
            <w:pPr>
              <w:pStyle w:val="Compact"/>
              <w:jc w:val="right"/>
            </w:pPr>
            <w:r>
              <w:t xml:space="preserve">2.8%</w:t>
            </w:r>
          </w:p>
        </w:tc>
      </w:tr>
    </w:tbl>
    <w:bookmarkEnd w:id="57"/>
    <w:p>
      <w:pPr>
        <w:pStyle w:val="Corpodetexto"/>
      </w:pPr>
      <w:r>
        <w:t xml:space="preserve">Antes de seguir com as comparações, cabe um detalhamento das limitações do estudo. Primeiro, as contagens disponíveis na base de sentenças arbitrais e na base de processos judiciais não correspondem sempre aos mesmos conflitos, já que sempre decorre um tempo entre a decisão arbitral e a sentença do processo judicial. Segundo, como não foram analisados casos que estão em segredo de justiça, a taxa de judicialização, ou seja, a razão entre a quantidade de processos judiciais e a quantidade de sentenças arbitrais está subestimada. Por último, não existem informações da quantidade de sentenças para todas as câmaras arbitrais possíveis, então as análises que comparam as contagens consideram somente as câmaras que têm informação.</w:t>
      </w:r>
    </w:p>
    <w:p>
      <w:pPr>
        <w:pStyle w:val="Corpodetexto"/>
      </w:pPr>
      <w:r>
        <w:t xml:space="preserve">A</w:t>
      </w:r>
      <w:r>
        <w:t xml:space="preserve"> </w:t>
      </w:r>
      <w:hyperlink w:anchor="tbl-resultado-pontual">
        <w:r>
          <w:rPr>
            <w:rStyle w:val="Hyperlink"/>
          </w:rPr>
          <w:t xml:space="preserve">Tabela 17</w:t>
        </w:r>
      </w:hyperlink>
      <w:r>
        <w:t xml:space="preserve"> </w:t>
      </w:r>
      <w:r>
        <w:t xml:space="preserve">mostra os resultados dos processos por categoria, excluindo os acordos. Nas últimas linha e coluna, são apresentadas as contagens e proporções marginais. A taxa de procedência em anulatórias (considerando casos procedentes e parcialmente procedentes e excluindo acordos do denominador) é de aproximadamente 17.7%.</w:t>
      </w:r>
    </w:p>
    <w:bookmarkStart w:id="58" w:name="tbl-resultado-pontual"/>
    <w:p>
      <w:pPr>
        <w:pStyle w:val="TableCaption"/>
      </w:pPr>
      <w:r>
        <w:t xml:space="preserve">Tabela 17: Resultados dos processos por categoria, excluindo acordos</w:t>
      </w:r>
    </w:p>
    <w:tbl>
      <w:tblPr>
        <w:tblStyle w:val="Table"/>
        <w:tblW w:type="pct" w:w="5000"/>
        <w:tblLook w:firstRow="1" w:lastRow="0" w:firstColumn="0" w:lastColumn="0" w:noHBand="0" w:noVBand="0" w:val="0020"/>
        <w:jc w:val="start"/>
        <w:tblLayout w:type="fixed"/>
        <w:tblCaption w:val="Tabela 17: Resultados dos processos por categoria, excluindo acordos"/>
      </w:tblPr>
      <w:tblGrid>
        <w:gridCol w:w="1338"/>
        <w:gridCol w:w="1338"/>
        <w:gridCol w:w="1450"/>
        <w:gridCol w:w="1115"/>
        <w:gridCol w:w="1227"/>
        <w:gridCol w:w="145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(17.6%)</w:t>
            </w:r>
          </w:p>
        </w:tc>
        <w:tc>
          <w:tcPr/>
          <w:p>
            <w:pPr>
              <w:pStyle w:val="Compact"/>
              <w:jc w:val="left"/>
            </w:pPr>
            <w:r>
              <w:t xml:space="preserve">22 (64.7%)</w:t>
            </w:r>
          </w:p>
        </w:tc>
        <w:tc>
          <w:tcPr/>
          <w:p>
            <w:pPr>
              <w:pStyle w:val="Compact"/>
              <w:jc w:val="left"/>
            </w:pPr>
            <w:r>
              <w:t xml:space="preserve">2 (5.9%)</w:t>
            </w:r>
          </w:p>
        </w:tc>
        <w:tc>
          <w:tcPr/>
          <w:p>
            <w:pPr>
              <w:pStyle w:val="Compact"/>
              <w:jc w:val="left"/>
            </w:pPr>
            <w:r>
              <w:t xml:space="preserve">4 (11.8%)</w:t>
            </w:r>
          </w:p>
        </w:tc>
        <w:tc>
          <w:tcPr/>
          <w:p>
            <w:pPr>
              <w:pStyle w:val="Compact"/>
              <w:jc w:val="left"/>
            </w:pPr>
            <w:r>
              <w:t xml:space="preserve">34 (19.4%)</w:t>
            </w:r>
          </w:p>
        </w:tc>
      </w:tr>
      <w:tr>
        <w:tc>
          <w:tcPr/>
          <w:p>
            <w:pPr>
              <w:pStyle w:val="Compact"/>
              <w:jc w:val="left"/>
            </w:pPr>
            <w:r>
              <w:t xml:space="preserve">Cautelar</w:t>
            </w:r>
          </w:p>
        </w:tc>
        <w:tc>
          <w:tcPr/>
          <w:p>
            <w:pPr>
              <w:pStyle w:val="Compact"/>
              <w:jc w:val="left"/>
            </w:pPr>
            <w:r>
              <w:t xml:space="preserve">39 (73.6%)</w:t>
            </w:r>
          </w:p>
        </w:tc>
        <w:tc>
          <w:tcPr/>
          <w:p>
            <w:pPr>
              <w:pStyle w:val="Compact"/>
              <w:jc w:val="left"/>
            </w:pPr>
            <w:r>
              <w:t xml:space="preserve">10 (18.9%)</w:t>
            </w:r>
          </w:p>
        </w:tc>
        <w:tc>
          <w:tcPr/>
          <w:p>
            <w:pPr>
              <w:pStyle w:val="Compact"/>
              <w:jc w:val="left"/>
            </w:pPr>
            <w:r>
              <w:t xml:space="preserve">0 (0.0%)</w:t>
            </w:r>
          </w:p>
        </w:tc>
        <w:tc>
          <w:tcPr/>
          <w:p>
            <w:pPr>
              <w:pStyle w:val="Compact"/>
              <w:jc w:val="left"/>
            </w:pPr>
            <w:r>
              <w:t xml:space="preserve">4 (7.5%)</w:t>
            </w:r>
          </w:p>
        </w:tc>
        <w:tc>
          <w:tcPr/>
          <w:p>
            <w:pPr>
              <w:pStyle w:val="Compact"/>
              <w:jc w:val="left"/>
            </w:pPr>
            <w:r>
              <w:t xml:space="preserve">53 (30.3%)</w:t>
            </w:r>
          </w:p>
        </w:tc>
      </w:tr>
      <w:tr>
        <w:tc>
          <w:tcPr/>
          <w:p>
            <w:pPr>
              <w:pStyle w:val="Compact"/>
              <w:jc w:val="left"/>
            </w:pPr>
            <w:r>
              <w:t xml:space="preserve">Convencao</w:t>
            </w:r>
          </w:p>
        </w:tc>
        <w:tc>
          <w:tcPr/>
          <w:p>
            <w:pPr>
              <w:pStyle w:val="Compact"/>
              <w:jc w:val="left"/>
            </w:pPr>
            <w:r>
              <w:t xml:space="preserve">24 (68.6%)</w:t>
            </w:r>
          </w:p>
        </w:tc>
        <w:tc>
          <w:tcPr/>
          <w:p>
            <w:pPr>
              <w:pStyle w:val="Compact"/>
              <w:jc w:val="left"/>
            </w:pPr>
            <w:r>
              <w:t xml:space="preserve">1 (2.9%)</w:t>
            </w:r>
          </w:p>
        </w:tc>
        <w:tc>
          <w:tcPr/>
          <w:p>
            <w:pPr>
              <w:pStyle w:val="Compact"/>
              <w:jc w:val="left"/>
            </w:pPr>
            <w:r>
              <w:t xml:space="preserve">4 (11.4%)</w:t>
            </w:r>
          </w:p>
        </w:tc>
        <w:tc>
          <w:tcPr/>
          <w:p>
            <w:pPr>
              <w:pStyle w:val="Compact"/>
              <w:jc w:val="left"/>
            </w:pPr>
            <w:r>
              <w:t xml:space="preserve">6 (17.1%)</w:t>
            </w:r>
          </w:p>
        </w:tc>
        <w:tc>
          <w:tcPr/>
          <w:p>
            <w:pPr>
              <w:pStyle w:val="Compact"/>
              <w:jc w:val="left"/>
            </w:pPr>
            <w:r>
              <w:t xml:space="preserve">35 (20.0%)</w:t>
            </w:r>
          </w:p>
        </w:tc>
      </w:tr>
      <w:tr>
        <w:tc>
          <w:tcPr/>
          <w:p>
            <w:pPr>
              <w:pStyle w:val="Compact"/>
              <w:jc w:val="left"/>
            </w:pPr>
            <w:r>
              <w:t xml:space="preserve">Cumprimento</w:t>
            </w:r>
          </w:p>
        </w:tc>
        <w:tc>
          <w:tcPr/>
          <w:p>
            <w:pPr>
              <w:pStyle w:val="Compact"/>
              <w:jc w:val="left"/>
            </w:pPr>
            <w:r>
              <w:t xml:space="preserve">44 (97.8%)</w:t>
            </w:r>
          </w:p>
        </w:tc>
        <w:tc>
          <w:tcPr/>
          <w:p>
            <w:pPr>
              <w:pStyle w:val="Compact"/>
              <w:jc w:val="left"/>
            </w:pPr>
            <w:r>
              <w:t xml:space="preserve">0 (0.0%)</w:t>
            </w:r>
          </w:p>
        </w:tc>
        <w:tc>
          <w:tcPr/>
          <w:p>
            <w:pPr>
              <w:pStyle w:val="Compact"/>
              <w:jc w:val="left"/>
            </w:pPr>
            <w:r>
              <w:t xml:space="preserve">1 (2.2%)</w:t>
            </w:r>
          </w:p>
        </w:tc>
        <w:tc>
          <w:tcPr/>
          <w:p>
            <w:pPr>
              <w:pStyle w:val="Compact"/>
              <w:jc w:val="left"/>
            </w:pPr>
            <w:r>
              <w:t xml:space="preserve">0 (0.0%)</w:t>
            </w:r>
          </w:p>
        </w:tc>
        <w:tc>
          <w:tcPr/>
          <w:p>
            <w:pPr>
              <w:pStyle w:val="Compact"/>
              <w:jc w:val="left"/>
            </w:pPr>
            <w:r>
              <w:t xml:space="preserve">45 (25.7%)</w:t>
            </w:r>
          </w:p>
        </w:tc>
      </w:tr>
      <w:tr>
        <w:tc>
          <w:tcPr/>
          <w:p>
            <w:pPr>
              <w:pStyle w:val="Compact"/>
              <w:jc w:val="left"/>
            </w:pPr>
            <w:r>
              <w:t xml:space="preserve">Instauracao</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8 (100.0%)</w:t>
            </w:r>
          </w:p>
        </w:tc>
        <w:tc>
          <w:tcPr/>
          <w:p>
            <w:pPr>
              <w:pStyle w:val="Compact"/>
              <w:jc w:val="left"/>
            </w:pPr>
            <w:r>
              <w:t xml:space="preserve">8 (4.6%)</w:t>
            </w:r>
          </w:p>
        </w:tc>
      </w:tr>
      <w:tr>
        <w:tc>
          <w:tcPr/>
          <w:p>
            <w:pPr>
              <w:pStyle w:val="Compact"/>
              <w:jc w:val="left"/>
            </w:pPr>
            <w:r>
              <w:t xml:space="preserve">Total</w:t>
            </w:r>
          </w:p>
        </w:tc>
        <w:tc>
          <w:tcPr/>
          <w:p>
            <w:pPr>
              <w:pStyle w:val="Compact"/>
              <w:jc w:val="left"/>
            </w:pPr>
            <w:r>
              <w:t xml:space="preserve">113 (64.6%)</w:t>
            </w:r>
          </w:p>
        </w:tc>
        <w:tc>
          <w:tcPr/>
          <w:p>
            <w:pPr>
              <w:pStyle w:val="Compact"/>
              <w:jc w:val="left"/>
            </w:pPr>
            <w:r>
              <w:t xml:space="preserve">33 (18.9%)</w:t>
            </w:r>
          </w:p>
        </w:tc>
        <w:tc>
          <w:tcPr/>
          <w:p>
            <w:pPr>
              <w:pStyle w:val="Compact"/>
              <w:jc w:val="left"/>
            </w:pPr>
            <w:r>
              <w:t xml:space="preserve">7 (4.0%)</w:t>
            </w:r>
          </w:p>
        </w:tc>
        <w:tc>
          <w:tcPr/>
          <w:p>
            <w:pPr>
              <w:pStyle w:val="Compact"/>
              <w:jc w:val="left"/>
            </w:pPr>
            <w:r>
              <w:t xml:space="preserve">22 (12.6%)</w:t>
            </w:r>
          </w:p>
        </w:tc>
        <w:tc>
          <w:tcPr/>
          <w:p>
            <w:pPr>
              <w:pStyle w:val="Compact"/>
              <w:jc w:val="left"/>
            </w:pPr>
            <w:r>
              <w:t xml:space="preserve">217 (100.0%)</w:t>
            </w:r>
          </w:p>
        </w:tc>
      </w:tr>
    </w:tbl>
    <w:bookmarkEnd w:id="58"/>
    <w:p>
      <w:pPr>
        <w:pStyle w:val="Corpodetexto"/>
      </w:pPr>
      <w:r>
        <w:t xml:space="preserve">Com base nos dados levantados, é possível desenvolver uma análise meramente exploratória sobre a probabilidade de uma sentença arbitral ser anulada, total ou parcialmente, pela justiça. Se assumirmos, conservadoramente, que, considerando as ações que se encontram em segredo de justiça, a taxa de judicialização efetiva seria três vezes superior à taxa de 2.8% detectada na</w:t>
      </w:r>
      <w:r>
        <w:t xml:space="preserve"> </w:t>
      </w:r>
      <w:hyperlink w:anchor="tbl-sentencas-processos-pontual">
        <w:r>
          <w:rPr>
            <w:rStyle w:val="Hyperlink"/>
          </w:rPr>
          <w:t xml:space="preserve">Tabela 16</w:t>
        </w:r>
      </w:hyperlink>
      <w:r>
        <w:t xml:space="preserve">, chegaríamos a uma taxa de judicialização real de 8.4%. Assumindo que a taxa de procedência parcial e total das ações anulatórias permaneceria estável, no patamar geral de 17.7% indicado na</w:t>
      </w:r>
      <w:r>
        <w:t xml:space="preserve"> </w:t>
      </w:r>
      <w:hyperlink w:anchor="tbl-resultado-pontual">
        <w:r>
          <w:rPr>
            <w:rStyle w:val="Hyperlink"/>
          </w:rPr>
          <w:t xml:space="preserve">Tabela 17</w:t>
        </w:r>
      </w:hyperlink>
      <w:r>
        <w:t xml:space="preserve">, a probabilidade de reversão de qualquer sentença arbitral proferida no mercado de arbitragem perante as varas empresariais seria a multiplicação entre essas proporções, ou seja, 1.5%.</w:t>
      </w:r>
    </w:p>
    <w:p>
      <w:pPr>
        <w:pStyle w:val="Corpodetexto"/>
      </w:pPr>
      <w:r>
        <w:t xml:space="preserve">Finalmente, a</w:t>
      </w:r>
      <w:r>
        <w:t xml:space="preserve"> </w:t>
      </w:r>
      <w:hyperlink w:anchor="tbl-tempo-pontual">
        <w:r>
          <w:rPr>
            <w:rStyle w:val="Hyperlink"/>
          </w:rPr>
          <w:t xml:space="preserve">Tabela 18</w:t>
        </w:r>
      </w:hyperlink>
      <w:r>
        <w:t xml:space="preserve"> </w:t>
      </w:r>
      <w:r>
        <w:t xml:space="preserve">mostra os tempos médios e medianos, geral e por categoria, em dias. Os processos de anulação estão em segundo lugar, com tempo mediano de quase dez meses até a sentença.</w:t>
      </w:r>
    </w:p>
    <w:bookmarkStart w:id="59" w:name="tbl-tempo-pontual"/>
    <w:p>
      <w:pPr>
        <w:pStyle w:val="TableCaption"/>
      </w:pPr>
      <w:r>
        <w:t xml:space="preserve">Tabela 18: Estatísticas descritivas dos tempos dos processos em dias</w:t>
      </w:r>
    </w:p>
    <w:tbl>
      <w:tblPr>
        <w:tblStyle w:val="Table"/>
        <w:tblW w:type="auto" w:w="0"/>
        <w:tblLook w:firstRow="1" w:lastRow="0" w:firstColumn="0" w:lastColumn="0" w:noHBand="0" w:noVBand="0" w:val="0020"/>
        <w:jc w:val="start"/>
        <w:tblCaption w:val="Tabela 18: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35</w:t>
            </w:r>
          </w:p>
        </w:tc>
        <w:tc>
          <w:tcPr/>
          <w:p>
            <w:pPr>
              <w:pStyle w:val="Compact"/>
              <w:jc w:val="right"/>
            </w:pPr>
            <w:r>
              <w:t xml:space="preserve">394.7</w:t>
            </w:r>
          </w:p>
        </w:tc>
        <w:tc>
          <w:tcPr/>
          <w:p>
            <w:pPr>
              <w:pStyle w:val="Compact"/>
              <w:jc w:val="right"/>
            </w:pPr>
            <w:r>
              <w:t xml:space="preserve">291.0</w:t>
            </w:r>
          </w:p>
        </w:tc>
      </w:tr>
      <w:tr>
        <w:tc>
          <w:tcPr/>
          <w:p>
            <w:pPr>
              <w:pStyle w:val="Compact"/>
              <w:jc w:val="left"/>
            </w:pPr>
            <w:r>
              <w:t xml:space="preserve">Convencao</w:t>
            </w:r>
          </w:p>
        </w:tc>
        <w:tc>
          <w:tcPr/>
          <w:p>
            <w:pPr>
              <w:pStyle w:val="Compact"/>
              <w:jc w:val="right"/>
            </w:pPr>
            <w:r>
              <w:t xml:space="preserve">35</w:t>
            </w:r>
          </w:p>
        </w:tc>
        <w:tc>
          <w:tcPr/>
          <w:p>
            <w:pPr>
              <w:pStyle w:val="Compact"/>
              <w:jc w:val="right"/>
            </w:pPr>
            <w:r>
              <w:t xml:space="preserve">308.0</w:t>
            </w:r>
          </w:p>
        </w:tc>
        <w:tc>
          <w:tcPr/>
          <w:p>
            <w:pPr>
              <w:pStyle w:val="Compact"/>
              <w:jc w:val="right"/>
            </w:pPr>
            <w:r>
              <w:t xml:space="preserve">262.0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62</w:t>
            </w:r>
          </w:p>
        </w:tc>
        <w:tc>
          <w:tcPr/>
          <w:p>
            <w:pPr>
              <w:pStyle w:val="Compact"/>
              <w:jc w:val="right"/>
            </w:pPr>
            <w:r>
              <w:t xml:space="preserve">232.1</w:t>
            </w:r>
          </w:p>
        </w:tc>
        <w:tc>
          <w:tcPr/>
          <w:p>
            <w:pPr>
              <w:pStyle w:val="Compact"/>
              <w:jc w:val="right"/>
            </w:pPr>
            <w:r>
              <w:t xml:space="preserve">193.5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306.9</w:t>
            </w:r>
          </w:p>
        </w:tc>
        <w:tc>
          <w:tcPr/>
          <w:p>
            <w:pPr>
              <w:pStyle w:val="Compact"/>
              <w:jc w:val="right"/>
            </w:pPr>
            <w:r>
              <w:t xml:space="preserve">245.0</w:t>
            </w:r>
          </w:p>
        </w:tc>
      </w:tr>
    </w:tbl>
    <w:bookmarkEnd w:id="59"/>
    <w:bookmarkEnd w:id="60"/>
    <w:bookmarkStart w:id="75" w:name="contratos-relacionais"/>
    <w:p>
      <w:pPr>
        <w:pStyle w:val="Ttulo2"/>
      </w:pPr>
      <w:r>
        <w:t xml:space="preserve">Contratos Relacionais</w:t>
      </w:r>
    </w:p>
    <w:p>
      <w:pPr>
        <w:pStyle w:val="FirstParagraph"/>
      </w:pPr>
      <w:r>
        <w:t xml:space="preserve">A</w:t>
      </w:r>
      <w:r>
        <w:t xml:space="preserve"> </w:t>
      </w:r>
      <w:hyperlink w:anchor="tbl-classe-relacional">
        <w:r>
          <w:rPr>
            <w:rStyle w:val="Hyperlink"/>
          </w:rPr>
          <w:t xml:space="preserve">Tabela 19</w:t>
        </w:r>
      </w:hyperlink>
      <w:r>
        <w:t xml:space="preserve"> </w:t>
      </w:r>
      <w:r>
        <w:t xml:space="preserve">mostra as classes processuais mais comuns encontradas. A classe mais comum é Convenção Arbitral, que ocorre em três quartos dos casos.</w:t>
      </w:r>
    </w:p>
    <w:bookmarkStart w:id="61" w:name="tbl-classe-relacional"/>
    <w:p>
      <w:pPr>
        <w:pStyle w:val="TableCaption"/>
      </w:pPr>
      <w:r>
        <w:t xml:space="preserve">Tabela 19: Classes mais comuns</w:t>
      </w:r>
    </w:p>
    <w:tbl>
      <w:tblPr>
        <w:tblStyle w:val="Table"/>
        <w:tblW w:type="auto" w:w="0"/>
        <w:tblLook w:firstRow="1" w:lastRow="0" w:firstColumn="0" w:lastColumn="0" w:noHBand="0" w:noVBand="0" w:val="0020"/>
        <w:jc w:val="start"/>
        <w:tblCaption w:val="Tabela 19: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54</w:t>
            </w:r>
          </w:p>
        </w:tc>
        <w:tc>
          <w:tcPr/>
          <w:p>
            <w:pPr>
              <w:pStyle w:val="Compact"/>
              <w:jc w:val="right"/>
            </w:pPr>
            <w:r>
              <w:t xml:space="preserve">75.0%</w:t>
            </w:r>
          </w:p>
        </w:tc>
      </w:tr>
      <w:tr>
        <w:tc>
          <w:tcPr/>
          <w:p>
            <w:pPr>
              <w:pStyle w:val="Compact"/>
              <w:jc w:val="left"/>
            </w:pPr>
            <w:r>
              <w:t xml:space="preserve">Procedimento Comum Cível</w:t>
            </w:r>
          </w:p>
        </w:tc>
        <w:tc>
          <w:tcPr/>
          <w:p>
            <w:pPr>
              <w:pStyle w:val="Compact"/>
              <w:jc w:val="right"/>
            </w:pPr>
            <w:r>
              <w:t xml:space="preserve">17</w:t>
            </w:r>
          </w:p>
        </w:tc>
        <w:tc>
          <w:tcPr/>
          <w:p>
            <w:pPr>
              <w:pStyle w:val="Compact"/>
              <w:jc w:val="right"/>
            </w:pPr>
            <w:r>
              <w:t xml:space="preserve">23.6%</w:t>
            </w:r>
          </w:p>
        </w:tc>
      </w:tr>
      <w:tr>
        <w:tc>
          <w:tcPr/>
          <w:p>
            <w:pPr>
              <w:pStyle w:val="Compact"/>
              <w:jc w:val="left"/>
            </w:pPr>
            <w:r>
              <w:t xml:space="preserve">Cumprimento de sentença - Lei Arbitral (Lei 9.307/1996)</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1"/>
    <w:p>
      <w:pPr>
        <w:pStyle w:val="Corpodetexto"/>
      </w:pPr>
      <w:r>
        <w:t xml:space="preserve">A</w:t>
      </w:r>
      <w:r>
        <w:t xml:space="preserve"> </w:t>
      </w:r>
      <w:hyperlink w:anchor="tbl-assunto-relacional">
        <w:r>
          <w:rPr>
            <w:rStyle w:val="Hyperlink"/>
          </w:rPr>
          <w:t xml:space="preserve">Tabela 20</w:t>
        </w:r>
      </w:hyperlink>
      <w:r>
        <w:t xml:space="preserve"> </w:t>
      </w:r>
      <w:r>
        <w:t xml:space="preserve">mostra os dez assuntos processuais mais comuns encontrados. A maior parte dos casos foi classificada com assunto</w:t>
      </w:r>
      <w:r>
        <w:t xml:space="preserve"> </w:t>
      </w:r>
      <w:r>
        <w:t xml:space="preserve">“</w:t>
      </w:r>
      <w:r>
        <w:t xml:space="preserve">Defeito, nulidade ou anulação</w:t>
      </w:r>
      <w:r>
        <w:t xml:space="preserve">”</w:t>
      </w:r>
      <w:r>
        <w:t xml:space="preserve">.</w:t>
      </w:r>
    </w:p>
    <w:bookmarkStart w:id="62" w:name="tbl-assunto-relacional"/>
    <w:p>
      <w:pPr>
        <w:pStyle w:val="TableCaption"/>
      </w:pPr>
      <w:r>
        <w:t xml:space="preserve">Tabela 20: Assuntos mais comuns</w:t>
      </w:r>
    </w:p>
    <w:tbl>
      <w:tblPr>
        <w:tblStyle w:val="Table"/>
        <w:tblW w:type="auto" w:w="0"/>
        <w:tblLook w:firstRow="1" w:lastRow="0" w:firstColumn="0" w:lastColumn="0" w:noHBand="0" w:noVBand="0" w:val="0020"/>
        <w:jc w:val="start"/>
        <w:tblCaption w:val="Tabela 20: Assuntos mais comuns"/>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59</w:t>
            </w:r>
          </w:p>
        </w:tc>
        <w:tc>
          <w:tcPr/>
          <w:p>
            <w:pPr>
              <w:pStyle w:val="Compact"/>
              <w:jc w:val="right"/>
            </w:pPr>
            <w:r>
              <w:t xml:space="preserve">81.9%</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18.1%</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2"/>
    <w:p>
      <w:pPr>
        <w:pStyle w:val="Corpodetexto"/>
      </w:pPr>
      <w:r>
        <w:t xml:space="preserve">A</w:t>
      </w:r>
      <w:r>
        <w:t xml:space="preserve"> </w:t>
      </w:r>
      <w:hyperlink w:anchor="tbl-valor-relacional">
        <w:r>
          <w:rPr>
            <w:rStyle w:val="Hyperlink"/>
          </w:rPr>
          <w:t xml:space="preserve">Tabela 21</w:t>
        </w:r>
      </w:hyperlink>
      <w:r>
        <w:t xml:space="preserve"> </w:t>
      </w:r>
      <w:r>
        <w:t xml:space="preserve">mostra a contagem de processos por faixa de valores de causa. Pouco mais da metade dos casos estão na faixa entre 100 mil reais e 1 milhão de reais.</w:t>
      </w:r>
    </w:p>
    <w:bookmarkStart w:id="63" w:name="tbl-valor-relacional"/>
    <w:p>
      <w:pPr>
        <w:pStyle w:val="TableCaption"/>
      </w:pPr>
      <w:r>
        <w:t xml:space="preserve">Tabela 21: Faixas de valores</w:t>
      </w:r>
    </w:p>
    <w:tbl>
      <w:tblPr>
        <w:tblStyle w:val="Table"/>
        <w:tblW w:type="auto" w:w="0"/>
        <w:tblLook w:firstRow="1" w:lastRow="0" w:firstColumn="0" w:lastColumn="0" w:noHBand="0" w:noVBand="0" w:val="0020"/>
        <w:jc w:val="start"/>
        <w:tblCaption w:val="Tabela 21: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5</w:t>
            </w:r>
          </w:p>
        </w:tc>
        <w:tc>
          <w:tcPr/>
          <w:p>
            <w:pPr>
              <w:pStyle w:val="Compact"/>
              <w:jc w:val="right"/>
            </w:pPr>
            <w:r>
              <w:t xml:space="preserve">6.9%</w:t>
            </w:r>
          </w:p>
        </w:tc>
      </w:tr>
      <w:tr>
        <w:tc>
          <w:tcPr/>
          <w:p>
            <w:pPr>
              <w:pStyle w:val="Compact"/>
              <w:jc w:val="left"/>
            </w:pPr>
            <w:r>
              <w:t xml:space="preserve">Entre R$ 10.000 e R$ 100.000</w:t>
            </w:r>
          </w:p>
        </w:tc>
        <w:tc>
          <w:tcPr/>
          <w:p>
            <w:pPr>
              <w:pStyle w:val="Compact"/>
              <w:jc w:val="right"/>
            </w:pPr>
            <w:r>
              <w:t xml:space="preserve">13</w:t>
            </w:r>
          </w:p>
        </w:tc>
        <w:tc>
          <w:tcPr/>
          <w:p>
            <w:pPr>
              <w:pStyle w:val="Compact"/>
              <w:jc w:val="right"/>
            </w:pPr>
            <w:r>
              <w:t xml:space="preserve">18.1%</w:t>
            </w:r>
          </w:p>
        </w:tc>
      </w:tr>
      <w:tr>
        <w:tc>
          <w:tcPr/>
          <w:p>
            <w:pPr>
              <w:pStyle w:val="Compact"/>
              <w:jc w:val="left"/>
            </w:pPr>
            <w:r>
              <w:t xml:space="preserve">Entre R$ 100.000 e R$ 1 milhão</w:t>
            </w:r>
          </w:p>
        </w:tc>
        <w:tc>
          <w:tcPr/>
          <w:p>
            <w:pPr>
              <w:pStyle w:val="Compact"/>
              <w:jc w:val="right"/>
            </w:pPr>
            <w:r>
              <w:t xml:space="preserve">38</w:t>
            </w:r>
          </w:p>
        </w:tc>
        <w:tc>
          <w:tcPr/>
          <w:p>
            <w:pPr>
              <w:pStyle w:val="Compact"/>
              <w:jc w:val="right"/>
            </w:pPr>
            <w:r>
              <w:t xml:space="preserve">52.8%</w:t>
            </w:r>
          </w:p>
        </w:tc>
      </w:tr>
      <w:tr>
        <w:tc>
          <w:tcPr/>
          <w:p>
            <w:pPr>
              <w:pStyle w:val="Compact"/>
              <w:jc w:val="left"/>
            </w:pPr>
            <w:r>
              <w:t xml:space="preserve">Entre R$ 1 milhão e R$ 10 milhões</w:t>
            </w:r>
          </w:p>
        </w:tc>
        <w:tc>
          <w:tcPr/>
          <w:p>
            <w:pPr>
              <w:pStyle w:val="Compact"/>
              <w:jc w:val="right"/>
            </w:pPr>
            <w:r>
              <w:t xml:space="preserve">12</w:t>
            </w:r>
          </w:p>
        </w:tc>
        <w:tc>
          <w:tcPr/>
          <w:p>
            <w:pPr>
              <w:pStyle w:val="Compact"/>
              <w:jc w:val="right"/>
            </w:pPr>
            <w:r>
              <w:t xml:space="preserve">16.7%</w:t>
            </w:r>
          </w:p>
        </w:tc>
      </w:tr>
      <w:tr>
        <w:tc>
          <w:tcPr/>
          <w:p>
            <w:pPr>
              <w:pStyle w:val="Compact"/>
              <w:jc w:val="left"/>
            </w:pPr>
            <w:r>
              <w:t xml:space="preserve">R$ 10 milhões ou mais</w:t>
            </w:r>
          </w:p>
        </w:tc>
        <w:tc>
          <w:tcPr/>
          <w:p>
            <w:pPr>
              <w:pStyle w:val="Compact"/>
              <w:jc w:val="right"/>
            </w:pPr>
            <w:r>
              <w:t xml:space="preserve">4</w:t>
            </w:r>
          </w:p>
        </w:tc>
        <w:tc>
          <w:tcPr/>
          <w:p>
            <w:pPr>
              <w:pStyle w:val="Compact"/>
              <w:jc w:val="right"/>
            </w:pPr>
            <w:r>
              <w:t xml:space="preserve">5.6%</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3"/>
    <w:p>
      <w:pPr>
        <w:pStyle w:val="Corpodetexto"/>
      </w:pPr>
      <w:r>
        <w:t xml:space="preserve">A</w:t>
      </w:r>
      <w:r>
        <w:t xml:space="preserve"> </w:t>
      </w:r>
      <w:hyperlink w:anchor="tbl-valor-anulatoria-relacional">
        <w:r>
          <w:rPr>
            <w:rStyle w:val="Hyperlink"/>
          </w:rPr>
          <w:t xml:space="preserve">Tabela 22</w:t>
        </w:r>
      </w:hyperlink>
      <w:r>
        <w:t xml:space="preserve"> </w:t>
      </w:r>
      <w:r>
        <w:t xml:space="preserve">mostra a contagem de processos por faixa de valores de causa nas anulatórias em contratos relacionais. Novamente, mais da metade dos processos estão na faixa de 100 mil reais a 1 milhão de reais.</w:t>
      </w:r>
    </w:p>
    <w:bookmarkStart w:id="64" w:name="tbl-valor-anulatoria-relacional"/>
    <w:p>
      <w:pPr>
        <w:pStyle w:val="TableCaption"/>
      </w:pPr>
      <w:r>
        <w:t xml:space="preserve">Tabela 22: Faixas de valores nas anulatórias</w:t>
      </w:r>
    </w:p>
    <w:tbl>
      <w:tblPr>
        <w:tblStyle w:val="Table"/>
        <w:tblW w:type="auto" w:w="0"/>
        <w:tblLook w:firstRow="1" w:lastRow="0" w:firstColumn="0" w:lastColumn="0" w:noHBand="0" w:noVBand="0" w:val="0020"/>
        <w:jc w:val="start"/>
        <w:tblCaption w:val="Tabela 22: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3</w:t>
            </w:r>
          </w:p>
        </w:tc>
        <w:tc>
          <w:tcPr/>
          <w:p>
            <w:pPr>
              <w:pStyle w:val="Compact"/>
              <w:jc w:val="right"/>
            </w:pPr>
            <w:r>
              <w:t xml:space="preserve">5.0%</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13.3%</w:t>
            </w:r>
          </w:p>
        </w:tc>
      </w:tr>
      <w:tr>
        <w:tc>
          <w:tcPr/>
          <w:p>
            <w:pPr>
              <w:pStyle w:val="Compact"/>
              <w:jc w:val="left"/>
            </w:pPr>
            <w:r>
              <w:t xml:space="preserve">Entre R$ 100.000 e R$ 1 milhão</w:t>
            </w:r>
          </w:p>
        </w:tc>
        <w:tc>
          <w:tcPr/>
          <w:p>
            <w:pPr>
              <w:pStyle w:val="Compact"/>
              <w:jc w:val="right"/>
            </w:pPr>
            <w:r>
              <w:t xml:space="preserve">33</w:t>
            </w:r>
          </w:p>
        </w:tc>
        <w:tc>
          <w:tcPr/>
          <w:p>
            <w:pPr>
              <w:pStyle w:val="Compact"/>
              <w:jc w:val="right"/>
            </w:pPr>
            <w:r>
              <w:t xml:space="preserve">55.0%</w:t>
            </w:r>
          </w:p>
        </w:tc>
      </w:tr>
      <w:tr>
        <w:tc>
          <w:tcPr/>
          <w:p>
            <w:pPr>
              <w:pStyle w:val="Compact"/>
              <w:jc w:val="left"/>
            </w:pPr>
            <w:r>
              <w:t xml:space="preserve">Entre R$ 1 milhão e R$ 10 milhões</w:t>
            </w:r>
          </w:p>
        </w:tc>
        <w:tc>
          <w:tcPr/>
          <w:p>
            <w:pPr>
              <w:pStyle w:val="Compact"/>
              <w:jc w:val="right"/>
            </w:pPr>
            <w:r>
              <w:t xml:space="preserve">12</w:t>
            </w:r>
          </w:p>
        </w:tc>
        <w:tc>
          <w:tcPr/>
          <w:p>
            <w:pPr>
              <w:pStyle w:val="Compact"/>
              <w:jc w:val="right"/>
            </w:pPr>
            <w:r>
              <w:t xml:space="preserve">20.0%</w:t>
            </w:r>
          </w:p>
        </w:tc>
      </w:tr>
      <w:tr>
        <w:tc>
          <w:tcPr/>
          <w:p>
            <w:pPr>
              <w:pStyle w:val="Compact"/>
              <w:jc w:val="left"/>
            </w:pPr>
            <w:r>
              <w:t xml:space="preserve">R$ 10 milhões ou mais</w:t>
            </w:r>
          </w:p>
        </w:tc>
        <w:tc>
          <w:tcPr/>
          <w:p>
            <w:pPr>
              <w:pStyle w:val="Compact"/>
              <w:jc w:val="right"/>
            </w:pPr>
            <w:r>
              <w:t xml:space="preserve">4</w:t>
            </w:r>
          </w:p>
        </w:tc>
        <w:tc>
          <w:tcPr/>
          <w:p>
            <w:pPr>
              <w:pStyle w:val="Compact"/>
              <w:jc w:val="right"/>
            </w:pPr>
            <w:r>
              <w:t xml:space="preserve">6.7%</w:t>
            </w:r>
          </w:p>
        </w:tc>
      </w:tr>
      <w:tr>
        <w:tc>
          <w:tcPr/>
          <w:p>
            <w:pPr>
              <w:pStyle w:val="Compact"/>
              <w:jc w:val="left"/>
            </w:pPr>
            <w:r>
              <w:t xml:space="preserve">Total</w:t>
            </w:r>
          </w:p>
        </w:tc>
        <w:tc>
          <w:tcPr/>
          <w:p>
            <w:pPr>
              <w:pStyle w:val="Compact"/>
              <w:jc w:val="right"/>
            </w:pPr>
            <w:r>
              <w:t xml:space="preserve">60</w:t>
            </w:r>
          </w:p>
        </w:tc>
        <w:tc>
          <w:tcPr/>
          <w:p>
            <w:pPr>
              <w:pStyle w:val="Compact"/>
              <w:jc w:val="right"/>
            </w:pPr>
            <w:r>
              <w:t xml:space="preserve">100.0%</w:t>
            </w:r>
          </w:p>
        </w:tc>
      </w:tr>
    </w:tbl>
    <w:bookmarkEnd w:id="64"/>
    <w:p>
      <w:pPr>
        <w:pStyle w:val="Corpodetexto"/>
      </w:pPr>
      <w:r>
        <w:t xml:space="preserve">A</w:t>
      </w:r>
      <w:r>
        <w:t xml:space="preserve"> </w:t>
      </w:r>
      <w:hyperlink w:anchor="tbl-vara-relacional">
        <w:r>
          <w:rPr>
            <w:rStyle w:val="Hyperlink"/>
          </w:rPr>
          <w:t xml:space="preserve">Tabela 23</w:t>
        </w:r>
      </w:hyperlink>
      <w:r>
        <w:t xml:space="preserve"> </w:t>
      </w:r>
      <w:r>
        <w:t xml:space="preserve">mostra a contagem de processos por vara. Novamente, os casos estão distribuídos de forma homogênea entre as varas empresariais. Não foram identificados casos nas RAJs para contratos relacionais.</w:t>
      </w:r>
    </w:p>
    <w:bookmarkStart w:id="65" w:name="tbl-vara-relacional"/>
    <w:p>
      <w:pPr>
        <w:pStyle w:val="TableCaption"/>
      </w:pPr>
      <w:r>
        <w:t xml:space="preserve">Tabela 23: Quantidade de processos por vara</w:t>
      </w:r>
    </w:p>
    <w:tbl>
      <w:tblPr>
        <w:tblStyle w:val="Table"/>
        <w:tblW w:type="auto" w:w="0"/>
        <w:tblLook w:firstRow="1" w:lastRow="0" w:firstColumn="0" w:lastColumn="0" w:noHBand="0" w:noVBand="0" w:val="0020"/>
        <w:jc w:val="start"/>
        <w:tblCaption w:val="Tabela 23: Quantidade de processos por vara"/>
      </w:tblPr>
      <w:tblGrid>
        <w:gridCol w:w="2640"/>
        <w:gridCol w:w="2640"/>
        <w:gridCol w:w="2640"/>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2ª Vara Empresarial e Conflitos de Arbitragem</w:t>
            </w:r>
          </w:p>
        </w:tc>
        <w:tc>
          <w:tcPr/>
          <w:p>
            <w:pPr>
              <w:pStyle w:val="Compact"/>
              <w:jc w:val="right"/>
            </w:pPr>
            <w:r>
              <w:t xml:space="preserve">37</w:t>
            </w:r>
          </w:p>
        </w:tc>
        <w:tc>
          <w:tcPr/>
          <w:p>
            <w:pPr>
              <w:pStyle w:val="Compact"/>
              <w:jc w:val="right"/>
            </w:pPr>
            <w:r>
              <w:t xml:space="preserve">51.4%</w:t>
            </w:r>
          </w:p>
        </w:tc>
      </w:tr>
      <w:tr>
        <w:tc>
          <w:tcPr/>
          <w:p>
            <w:pPr>
              <w:pStyle w:val="Compact"/>
              <w:jc w:val="left"/>
            </w:pPr>
            <w:r>
              <w:t xml:space="preserve">1ª Vara Empresarial e Conflitos de Arbitragem</w:t>
            </w:r>
          </w:p>
        </w:tc>
        <w:tc>
          <w:tcPr/>
          <w:p>
            <w:pPr>
              <w:pStyle w:val="Compact"/>
              <w:jc w:val="right"/>
            </w:pPr>
            <w:r>
              <w:t xml:space="preserve">35</w:t>
            </w:r>
          </w:p>
        </w:tc>
        <w:tc>
          <w:tcPr/>
          <w:p>
            <w:pPr>
              <w:pStyle w:val="Compact"/>
              <w:jc w:val="right"/>
            </w:pPr>
            <w:r>
              <w:t xml:space="preserve">48.6%</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5"/>
    <w:p>
      <w:pPr>
        <w:pStyle w:val="Corpodetexto"/>
      </w:pPr>
      <w:r>
        <w:t xml:space="preserve">A</w:t>
      </w:r>
      <w:r>
        <w:t xml:space="preserve"> </w:t>
      </w:r>
      <w:hyperlink w:anchor="tbl-camara-origem-relacional">
        <w:r>
          <w:rPr>
            <w:rStyle w:val="Hyperlink"/>
          </w:rPr>
          <w:t xml:space="preserve">Tabela 24</w:t>
        </w:r>
      </w:hyperlink>
      <w:r>
        <w:t xml:space="preserve"> </w:t>
      </w:r>
      <w:r>
        <w:t xml:space="preserve">mostra a contagem e proporção de processos por câmara arbitral de origem nas anulatórias em contratos relacional. Quase todos os casos têm origem na câmara arbitral do Fórum Unimed. A câmara de origem não foi identificada em 12 casos.</w:t>
      </w:r>
    </w:p>
    <w:bookmarkStart w:id="66" w:name="tbl-camara-origem-relacional"/>
    <w:p>
      <w:pPr>
        <w:pStyle w:val="TableCaption"/>
      </w:pPr>
      <w:r>
        <w:t xml:space="preserve">Tabela 24: Quantidade de processos por câmara arbitral de origem</w:t>
      </w:r>
    </w:p>
    <w:tbl>
      <w:tblPr>
        <w:tblStyle w:val="Table"/>
        <w:tblW w:type="pct" w:w="5000"/>
        <w:tblLook w:firstRow="1" w:lastRow="0" w:firstColumn="0" w:lastColumn="0" w:noHBand="0" w:noVBand="0" w:val="0020"/>
        <w:jc w:val="start"/>
        <w:tblLayout w:type="fixed"/>
        <w:tblCaption w:val="Tabela 24: Quantidade de processos por câmara arbitral de origem"/>
      </w:tblPr>
      <w:tblGrid>
        <w:gridCol w:w="7030"/>
        <w:gridCol w:w="266"/>
        <w:gridCol w:w="62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Câmara Arbitral do Fórum Unimed</w:t>
            </w:r>
          </w:p>
        </w:tc>
        <w:tc>
          <w:tcPr/>
          <w:p>
            <w:pPr>
              <w:pStyle w:val="Compact"/>
              <w:jc w:val="right"/>
            </w:pPr>
            <w:r>
              <w:t xml:space="preserve">58</w:t>
            </w:r>
          </w:p>
        </w:tc>
        <w:tc>
          <w:tcPr/>
          <w:p>
            <w:pPr>
              <w:pStyle w:val="Compact"/>
              <w:jc w:val="right"/>
            </w:pPr>
            <w:r>
              <w:t xml:space="preserve">96.7%</w:t>
            </w:r>
          </w:p>
        </w:tc>
      </w:tr>
      <w:tr>
        <w:tc>
          <w:tcPr/>
          <w:p>
            <w:pPr>
              <w:pStyle w:val="Compact"/>
              <w:jc w:val="left"/>
            </w:pPr>
            <w:r>
              <w:t xml:space="preserve">Conselho Arbitral da ASSOHONDA - Associação Brasileira de distribuidores Honda</w:t>
            </w:r>
          </w:p>
        </w:tc>
        <w:tc>
          <w:tcPr/>
          <w:p>
            <w:pPr>
              <w:pStyle w:val="Compact"/>
              <w:jc w:val="right"/>
            </w:pPr>
            <w:r>
              <w:t xml:space="preserve">1</w:t>
            </w:r>
          </w:p>
        </w:tc>
        <w:tc>
          <w:tcPr/>
          <w:p>
            <w:pPr>
              <w:pStyle w:val="Compact"/>
              <w:jc w:val="right"/>
            </w:pPr>
            <w:r>
              <w:t xml:space="preserve">1.7%</w:t>
            </w:r>
          </w:p>
        </w:tc>
      </w:tr>
      <w:tr>
        <w:tc>
          <w:tcPr/>
          <w:p>
            <w:pPr>
              <w:pStyle w:val="Compact"/>
              <w:jc w:val="left"/>
            </w:pPr>
            <w:r>
              <w:t xml:space="preserve">Conselho Arbitral do Estado de São Paulo - CAESP</w:t>
            </w:r>
          </w:p>
        </w:tc>
        <w:tc>
          <w:tcPr/>
          <w:p>
            <w:pPr>
              <w:pStyle w:val="Compact"/>
              <w:jc w:val="right"/>
            </w:pPr>
            <w:r>
              <w:t xml:space="preserve">1</w:t>
            </w:r>
          </w:p>
        </w:tc>
        <w:tc>
          <w:tcPr/>
          <w:p>
            <w:pPr>
              <w:pStyle w:val="Compact"/>
              <w:jc w:val="right"/>
            </w:pPr>
            <w:r>
              <w:t xml:space="preserve">1.7%</w:t>
            </w:r>
          </w:p>
        </w:tc>
      </w:tr>
      <w:tr>
        <w:tc>
          <w:tcPr/>
          <w:p>
            <w:pPr>
              <w:pStyle w:val="Compact"/>
              <w:jc w:val="left"/>
            </w:pPr>
            <w:r>
              <w:t xml:space="preserve">Total</w:t>
            </w:r>
          </w:p>
        </w:tc>
        <w:tc>
          <w:tcPr/>
          <w:p>
            <w:pPr>
              <w:pStyle w:val="Compact"/>
              <w:jc w:val="right"/>
            </w:pPr>
            <w:r>
              <w:t xml:space="preserve">60</w:t>
            </w:r>
          </w:p>
        </w:tc>
        <w:tc>
          <w:tcPr/>
          <w:p>
            <w:pPr>
              <w:pStyle w:val="Compact"/>
              <w:jc w:val="right"/>
            </w:pPr>
            <w:r>
              <w:t xml:space="preserve">100.0%</w:t>
            </w:r>
          </w:p>
        </w:tc>
      </w:tr>
    </w:tbl>
    <w:bookmarkEnd w:id="66"/>
    <w:p>
      <w:pPr>
        <w:pStyle w:val="Corpodetexto"/>
      </w:pPr>
      <w:r>
        <w:t xml:space="preserve">A</w:t>
      </w:r>
      <w:r>
        <w:t xml:space="preserve"> </w:t>
      </w:r>
      <w:hyperlink w:anchor="fig-no-tempo-categoria-relacional">
        <w:r>
          <w:rPr>
            <w:rStyle w:val="Hyperlink"/>
          </w:rPr>
          <w:t xml:space="preserve">Figura 3</w:t>
        </w:r>
      </w:hyperlink>
      <w:r>
        <w:t xml:space="preserve"> </w:t>
      </w:r>
      <w:r>
        <w:t xml:space="preserve">mostra o volume de decisões ao longo do tempo, separando por categoria de caso. As anulatórias estão concentradas entre 2018 e 2020.</w:t>
      </w:r>
    </w:p>
    <w:tbl>
      <w:tblPr>
        <w:tblStyle w:val="Table"/>
        <w:tblW w:type="pct" w:w="5000"/>
        <w:tblLook w:firstRow="0" w:lastRow="0" w:firstColumn="0" w:lastColumn="0" w:noHBand="0" w:noVBand="0" w:val="0000"/>
        <w:jc w:val="start"/>
        <w:tblLayout w:type="fixed"/>
      </w:tblPr>
      <w:tblGrid>
        <w:gridCol w:w="7920"/>
      </w:tblGrid>
      <w:tr>
        <w:tc>
          <w:tcPr/>
          <w:bookmarkStart w:id="70" w:name="fig-no-tempo-categoria-relacional"/>
          <w:p>
            <w:pPr>
              <w:jc w:val="center"/>
            </w:pPr>
            <w:r>
              <w:drawing>
                <wp:inline>
                  <wp:extent cx="5969000" cy="3410857"/>
                  <wp:effectExtent b="0" l="0" r="0" t="0"/>
                  <wp:docPr descr="" title="" id="68" name="Picture"/>
                  <a:graphic>
                    <a:graphicData uri="http://schemas.openxmlformats.org/drawingml/2006/picture">
                      <pic:pic>
                        <pic:nvPicPr>
                          <pic:cNvPr descr="relatorio_files/figure-docx/fig-no-tempo-categoria-relacional-1.png" id="69" name="Picture"/>
                          <pic:cNvPicPr>
                            <a:picLocks noChangeArrowheads="1" noChangeAspect="1"/>
                          </pic:cNvPicPr>
                        </pic:nvPicPr>
                        <pic:blipFill>
                          <a:blip r:embed="rId67"/>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Quantidade de decisões por ano e categoria</w:t>
            </w:r>
          </w:p>
          <w:bookmarkEnd w:id="70"/>
        </w:tc>
      </w:tr>
    </w:tbl>
    <w:p>
      <w:pPr>
        <w:pStyle w:val="Corpodetexto"/>
      </w:pPr>
      <w:r>
        <w:t xml:space="preserve">A</w:t>
      </w:r>
      <w:r>
        <w:t xml:space="preserve"> </w:t>
      </w:r>
      <w:hyperlink w:anchor="tbl-resultado-relacional">
        <w:r>
          <w:rPr>
            <w:rStyle w:val="Hyperlink"/>
          </w:rPr>
          <w:t xml:space="preserve">Tabela 25</w:t>
        </w:r>
      </w:hyperlink>
      <w:r>
        <w:t xml:space="preserve"> </w:t>
      </w:r>
      <w:r>
        <w:t xml:space="preserve">mostra os resultados dos processos por categoria, excluindo os acordos. A taxa de procedência em anulatórias (considerando casos procedentes e parcialmente procedentes e excluindo acordos do denominador) é de aproximadamente 59.3%, significativamente maior do que foi observado na</w:t>
      </w:r>
      <w:r>
        <w:t xml:space="preserve"> </w:t>
      </w:r>
      <w:hyperlink w:anchor="tbl-resultado-pontual">
        <w:r>
          <w:rPr>
            <w:rStyle w:val="Hyperlink"/>
          </w:rPr>
          <w:t xml:space="preserve">Tabela 17</w:t>
        </w:r>
      </w:hyperlink>
      <w:r>
        <w:t xml:space="preserve">.</w:t>
      </w:r>
    </w:p>
    <w:bookmarkStart w:id="71" w:name="tbl-resultado-relacional"/>
    <w:p>
      <w:pPr>
        <w:pStyle w:val="TableCaption"/>
      </w:pPr>
      <w:r>
        <w:t xml:space="preserve">Tabela 25: Resultados dos processos por categoria, excluindo acordos</w:t>
      </w:r>
    </w:p>
    <w:tbl>
      <w:tblPr>
        <w:tblStyle w:val="Table"/>
        <w:tblW w:type="pct" w:w="5000"/>
        <w:tblLook w:firstRow="1" w:lastRow="0" w:firstColumn="0" w:lastColumn="0" w:noHBand="0" w:noVBand="0" w:val="0020"/>
        <w:jc w:val="start"/>
        <w:tblLayout w:type="fixed"/>
        <w:tblCaption w:val="Tabela 25: Resultados dos processos por categoria, excluindo acordos"/>
      </w:tblPr>
      <w:tblGrid>
        <w:gridCol w:w="1164"/>
        <w:gridCol w:w="1514"/>
        <w:gridCol w:w="1281"/>
        <w:gridCol w:w="1281"/>
        <w:gridCol w:w="1281"/>
        <w:gridCol w:w="1397"/>
      </w:tblGrid>
      <w:tr>
        <w:trPr>
          <w:tblHeader w:val="true"/>
        </w:trPr>
        <w:tc>
          <w:tcPr/>
          <w:p>
            <w:pPr>
              <w:pStyle w:val="Compact"/>
              <w:jc w:val="left"/>
            </w:pPr>
            <w:r>
              <w:t xml:space="preserve">Categoria</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Extinto</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24 (40.7%)</w:t>
            </w:r>
          </w:p>
        </w:tc>
        <w:tc>
          <w:tcPr/>
          <w:p>
            <w:pPr>
              <w:pStyle w:val="Compact"/>
              <w:jc w:val="left"/>
            </w:pPr>
            <w:r>
              <w:t xml:space="preserve">14 (23.7%)</w:t>
            </w:r>
          </w:p>
        </w:tc>
        <w:tc>
          <w:tcPr/>
          <w:p>
            <w:pPr>
              <w:pStyle w:val="Compact"/>
              <w:jc w:val="left"/>
            </w:pPr>
            <w:r>
              <w:t xml:space="preserve">21 (35.6%)</w:t>
            </w:r>
          </w:p>
        </w:tc>
        <w:tc>
          <w:tcPr/>
          <w:p>
            <w:pPr>
              <w:pStyle w:val="Compact"/>
              <w:jc w:val="left"/>
            </w:pPr>
            <w:r>
              <w:t xml:space="preserve">0 (0.0%)</w:t>
            </w:r>
          </w:p>
        </w:tc>
        <w:tc>
          <w:tcPr/>
          <w:p>
            <w:pPr>
              <w:pStyle w:val="Compact"/>
              <w:jc w:val="left"/>
            </w:pPr>
            <w:r>
              <w:t xml:space="preserve">59 (83.1%)</w:t>
            </w:r>
          </w:p>
        </w:tc>
      </w:tr>
      <w:tr>
        <w:tc>
          <w:tcPr/>
          <w:p>
            <w:pPr>
              <w:pStyle w:val="Compact"/>
              <w:jc w:val="left"/>
            </w:pPr>
            <w:r>
              <w:t xml:space="preserve">Cautelar</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1 (100.0%)</w:t>
            </w:r>
          </w:p>
        </w:tc>
        <w:tc>
          <w:tcPr/>
          <w:p>
            <w:pPr>
              <w:pStyle w:val="Compact"/>
              <w:jc w:val="left"/>
            </w:pPr>
            <w:r>
              <w:t xml:space="preserve">1 (1.4%)</w:t>
            </w:r>
          </w:p>
        </w:tc>
      </w:tr>
      <w:tr>
        <w:tc>
          <w:tcPr/>
          <w:p>
            <w:pPr>
              <w:pStyle w:val="Compact"/>
              <w:jc w:val="left"/>
            </w:pPr>
            <w:r>
              <w:t xml:space="preserve">Convencao</w:t>
            </w:r>
          </w:p>
        </w:tc>
        <w:tc>
          <w:tcPr/>
          <w:p>
            <w:pPr>
              <w:pStyle w:val="Compact"/>
              <w:jc w:val="left"/>
            </w:pPr>
            <w:r>
              <w:t xml:space="preserve">0 (0.0%)</w:t>
            </w:r>
          </w:p>
        </w:tc>
        <w:tc>
          <w:tcPr/>
          <w:p>
            <w:pPr>
              <w:pStyle w:val="Compact"/>
              <w:jc w:val="left"/>
            </w:pPr>
            <w:r>
              <w:t xml:space="preserve">1 (9.1%)</w:t>
            </w:r>
          </w:p>
        </w:tc>
        <w:tc>
          <w:tcPr/>
          <w:p>
            <w:pPr>
              <w:pStyle w:val="Compact"/>
              <w:jc w:val="left"/>
            </w:pPr>
            <w:r>
              <w:t xml:space="preserve">0 (0.0%)</w:t>
            </w:r>
          </w:p>
        </w:tc>
        <w:tc>
          <w:tcPr/>
          <w:p>
            <w:pPr>
              <w:pStyle w:val="Compact"/>
              <w:jc w:val="left"/>
            </w:pPr>
            <w:r>
              <w:t xml:space="preserve">10 (90.9%)</w:t>
            </w:r>
          </w:p>
        </w:tc>
        <w:tc>
          <w:tcPr/>
          <w:p>
            <w:pPr>
              <w:pStyle w:val="Compact"/>
              <w:jc w:val="left"/>
            </w:pPr>
            <w:r>
              <w:t xml:space="preserve">11 (15.5%)</w:t>
            </w:r>
          </w:p>
        </w:tc>
      </w:tr>
      <w:tr>
        <w:tc>
          <w:tcPr/>
          <w:p>
            <w:pPr>
              <w:pStyle w:val="Compact"/>
              <w:jc w:val="left"/>
            </w:pPr>
            <w:r>
              <w:t xml:space="preserve">Total</w:t>
            </w:r>
          </w:p>
        </w:tc>
        <w:tc>
          <w:tcPr/>
          <w:p>
            <w:pPr>
              <w:pStyle w:val="Compact"/>
              <w:jc w:val="left"/>
            </w:pPr>
            <w:r>
              <w:t xml:space="preserve">24 (33.8%)</w:t>
            </w:r>
          </w:p>
        </w:tc>
        <w:tc>
          <w:tcPr/>
          <w:p>
            <w:pPr>
              <w:pStyle w:val="Compact"/>
              <w:jc w:val="left"/>
            </w:pPr>
            <w:r>
              <w:t xml:space="preserve">15 (21.1%)</w:t>
            </w:r>
          </w:p>
        </w:tc>
        <w:tc>
          <w:tcPr/>
          <w:p>
            <w:pPr>
              <w:pStyle w:val="Compact"/>
              <w:jc w:val="left"/>
            </w:pPr>
            <w:r>
              <w:t xml:space="preserve">21 (29.6%)</w:t>
            </w:r>
          </w:p>
        </w:tc>
        <w:tc>
          <w:tcPr/>
          <w:p>
            <w:pPr>
              <w:pStyle w:val="Compact"/>
              <w:jc w:val="left"/>
            </w:pPr>
            <w:r>
              <w:t xml:space="preserve">11 (15.5%)</w:t>
            </w:r>
          </w:p>
        </w:tc>
        <w:tc>
          <w:tcPr/>
          <w:p>
            <w:pPr>
              <w:pStyle w:val="Compact"/>
              <w:jc w:val="left"/>
            </w:pPr>
            <w:r>
              <w:t xml:space="preserve">72 (100.0%)</w:t>
            </w:r>
          </w:p>
        </w:tc>
      </w:tr>
    </w:tbl>
    <w:bookmarkEnd w:id="71"/>
    <w:p>
      <w:pPr>
        <w:pStyle w:val="Corpodetexto"/>
      </w:pPr>
      <w:r>
        <w:t xml:space="preserve">Finalmente, a</w:t>
      </w:r>
      <w:r>
        <w:t xml:space="preserve"> </w:t>
      </w:r>
      <w:hyperlink w:anchor="tbl-tempo-relacional">
        <w:r>
          <w:rPr>
            <w:rStyle w:val="Hyperlink"/>
          </w:rPr>
          <w:t xml:space="preserve">Tabela 26</w:t>
        </w:r>
      </w:hyperlink>
      <w:r>
        <w:t xml:space="preserve"> </w:t>
      </w:r>
      <w:r>
        <w:t xml:space="preserve">mostra os tempos médios e medianos, geral e por categoria, em dias. Os processos mais longos são os de convenção arbitral, com mediana de mais de um ano.</w:t>
      </w:r>
    </w:p>
    <w:bookmarkStart w:id="72" w:name="tbl-tempo-relacional"/>
    <w:p>
      <w:pPr>
        <w:pStyle w:val="TableCaption"/>
      </w:pPr>
      <w:r>
        <w:t xml:space="preserve">Tabela 26: Estatísticas descritivas dos tempos dos processos em dias</w:t>
      </w:r>
    </w:p>
    <w:tbl>
      <w:tblPr>
        <w:tblStyle w:val="Table"/>
        <w:tblW w:type="auto" w:w="0"/>
        <w:tblLook w:firstRow="1" w:lastRow="0" w:firstColumn="0" w:lastColumn="0" w:noHBand="0" w:noVBand="0" w:val="0020"/>
        <w:jc w:val="start"/>
        <w:tblCaption w:val="Tabela 26: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11</w:t>
            </w:r>
          </w:p>
        </w:tc>
        <w:tc>
          <w:tcPr/>
          <w:p>
            <w:pPr>
              <w:pStyle w:val="Compact"/>
              <w:jc w:val="right"/>
            </w:pPr>
            <w:r>
              <w:t xml:space="preserve">498.6</w:t>
            </w:r>
          </w:p>
        </w:tc>
        <w:tc>
          <w:tcPr/>
          <w:p>
            <w:pPr>
              <w:pStyle w:val="Compact"/>
              <w:jc w:val="right"/>
            </w:pPr>
            <w:r>
              <w:t xml:space="preserve">397.0</w:t>
            </w:r>
          </w:p>
        </w:tc>
      </w:tr>
      <w:tr>
        <w:tc>
          <w:tcPr/>
          <w:p>
            <w:pPr>
              <w:pStyle w:val="Compact"/>
              <w:jc w:val="left"/>
            </w:pPr>
            <w:r>
              <w:t xml:space="preserve">Cautelar</w:t>
            </w:r>
          </w:p>
        </w:tc>
        <w:tc>
          <w:tcPr/>
          <w:p>
            <w:pPr>
              <w:pStyle w:val="Compact"/>
              <w:jc w:val="right"/>
            </w:pPr>
            <w:r>
              <w:t xml:space="preserve">1</w:t>
            </w:r>
          </w:p>
        </w:tc>
        <w:tc>
          <w:tcPr/>
          <w:p>
            <w:pPr>
              <w:pStyle w:val="Compact"/>
              <w:jc w:val="right"/>
            </w:pPr>
            <w:r>
              <w:t xml:space="preserve">268.0</w:t>
            </w:r>
          </w:p>
        </w:tc>
        <w:tc>
          <w:tcPr/>
          <w:p>
            <w:pPr>
              <w:pStyle w:val="Compact"/>
              <w:jc w:val="right"/>
            </w:pPr>
            <w:r>
              <w:t xml:space="preserve">268.0</w:t>
            </w:r>
          </w:p>
        </w:tc>
      </w:tr>
      <w:tr>
        <w:tc>
          <w:tcPr/>
          <w:p>
            <w:pPr>
              <w:pStyle w:val="Compact"/>
              <w:jc w:val="left"/>
            </w:pPr>
            <w:r>
              <w:t xml:space="preserve">Anulacao</w:t>
            </w:r>
          </w:p>
        </w:tc>
        <w:tc>
          <w:tcPr/>
          <w:p>
            <w:pPr>
              <w:pStyle w:val="Compact"/>
              <w:jc w:val="right"/>
            </w:pPr>
            <w:r>
              <w:t xml:space="preserve">60</w:t>
            </w:r>
          </w:p>
        </w:tc>
        <w:tc>
          <w:tcPr/>
          <w:p>
            <w:pPr>
              <w:pStyle w:val="Compact"/>
              <w:jc w:val="right"/>
            </w:pPr>
            <w:r>
              <w:t xml:space="preserve">204.5</w:t>
            </w:r>
          </w:p>
        </w:tc>
        <w:tc>
          <w:tcPr/>
          <w:p>
            <w:pPr>
              <w:pStyle w:val="Compact"/>
              <w:jc w:val="right"/>
            </w:pPr>
            <w:r>
              <w:t xml:space="preserve">168.5</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250.3</w:t>
            </w:r>
          </w:p>
        </w:tc>
        <w:tc>
          <w:tcPr/>
          <w:p>
            <w:pPr>
              <w:pStyle w:val="Compact"/>
              <w:jc w:val="right"/>
            </w:pPr>
            <w:r>
              <w:t xml:space="preserve">192.0</w:t>
            </w:r>
          </w:p>
        </w:tc>
      </w:tr>
    </w:tbl>
    <w:bookmarkEnd w:id="72"/>
    <w:bookmarkStart w:id="74" w:name="refs"/>
    <w:bookmarkStart w:id="73"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73"/>
    <w:bookmarkEnd w:id="74"/>
    <w:bookmarkEnd w:id="75"/>
    <w:bookmarkEnd w:id="76"/>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Em outros as expressões apareciam por conta de citações acidentais em precedentes e excertos de doutrina, a despeito do caso em si não tratar do tema de interesse. Por fim, um caso identificado em uma nova categoria</w:t>
      </w:r>
      <w:r>
        <w:t xml:space="preserve"> </w:t>
      </w:r>
      <w:r>
        <w:t xml:space="preserve">“</w:t>
      </w:r>
      <w:r>
        <w:t xml:space="preserve">Carta Arbitral</w:t>
      </w:r>
      <w:r>
        <w:t xml:space="preserve">”</w:t>
      </w:r>
      <w:r>
        <w:t xml:space="preserve"> </w:t>
      </w:r>
      <w:r>
        <w:t xml:space="preserve">(1099760-61.2021.8.26.0100) também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2023-09-04T01:12:13Z</dcterms:created>
  <dcterms:modified xsi:type="dcterms:W3CDTF">2023-09-04T01:12:13Z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2023-09-04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no banco de sentenças do TJSP</vt:lpwstr>
  </property>
  <property fmtid="{D5CDD505-2E9C-101B-9397-08002B2CF9AE}" pid="14" name="toc-title">
    <vt:lpwstr>Índice</vt:lpwstr>
  </property>
</Properties>
</file>