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On the Probabilistic, Neural, and Evolutionary Design of a Battleship Agent</w:t>
      </w:r>
    </w:p>
    <w:p>
      <w:pPr>
        <w:spacing w:after="120"/>
      </w:pPr>
      <w:r>
        <w:rPr>
          <w:i/>
        </w:rPr>
        <w:t>Author: Abhinav (with assistance)</w:t>
      </w:r>
    </w:p>
    <w:p>
      <w:pPr>
        <w:spacing w:after="120"/>
      </w:pPr>
      <w:r>
        <w:t>Date: 2025-09-07</w:t>
      </w:r>
    </w:p>
    <w:p>
      <w:pPr>
        <w:pStyle w:val="Heading1"/>
      </w:pPr>
      <w:r>
        <w:t>Abstract</w:t>
      </w:r>
    </w:p>
    <w:p>
      <w:pPr>
        <w:spacing w:after="120"/>
      </w:pPr>
      <w:r>
        <w:t>We present a complete research platform for the game of Battleship combining classical probabilistic placement counting, a convolutional heatmap prior, Monte Carlo posterior blending, information-theoretic scoring, and genetic optimization of meta-weights (Agent 4). We describe the system architecture, training pipelines (supervised, RL fine-tuning, GA), and evaluation. A quick benchmark demonstrates robust performance versus heuristic opponents. We release full documentation and reproducibility materials.</w:t>
      </w:r>
    </w:p>
    <w:p>
      <w:pPr>
        <w:pStyle w:val="Heading1"/>
      </w:pPr>
      <w:r>
        <w:t>1. Introduction</w:t>
      </w:r>
    </w:p>
    <w:p>
      <w:pPr>
        <w:spacing w:after="120"/>
      </w:pPr>
      <w:r>
        <w:t>The Battleship problem is a partially observable search task. Our system fuses a neural prior with probabilistic placement counting and Monte Carlo sampling to infer likely ship locations. Agent 3 integrates opponent modeling and information gain; Agent 4 loads GA-optimized weights to maximize win rate while minimizing moves.</w:t>
      </w:r>
    </w:p>
    <w:p>
      <w:pPr>
        <w:pStyle w:val="Heading1"/>
      </w:pPr>
      <w:r>
        <w:t>2. System Overview</w:t>
      </w:r>
    </w:p>
    <w:p>
      <w:pPr>
        <w:spacing w:after="120"/>
      </w:pPr>
      <w:r>
        <w:t>Environment: 10×10 board, classic ships [5,4,3,3,2]; headless engine for AI-vs-AI.</w:t>
      </w:r>
    </w:p>
    <w:p>
      <w:pPr>
        <w:spacing w:after="120"/>
      </w:pPr>
      <w:r>
        <w:t>Agents: Agent 2 (probabilistic+NN+MC), Agent 3 (adds info gain + opponent modeling + graph), Agent 4 (GA-optimized blend).</w:t>
      </w:r>
    </w:p>
    <w:p>
      <w:pPr>
        <w:spacing w:after="120"/>
      </w:pPr>
      <w:r>
        <w:t>Training: supervised heatmap CNN from self-play data; optional REINFORCE fine-tuning; GA evolution of meta-weights.</w:t>
      </w:r>
    </w:p>
    <w:p>
      <w:pPr>
        <w:pStyle w:val="Heading1"/>
      </w:pPr>
      <w:r>
        <w:t>3. Methods</w:t>
      </w:r>
    </w:p>
    <w:p>
      <w:pPr>
        <w:spacing w:after="120"/>
      </w:pPr>
      <w:r>
        <w:t>Density counting: enumerate legal placements under misses/sunk constraints; parity reduces early search.</w:t>
      </w:r>
    </w:p>
    <w:p>
      <w:pPr>
        <w:spacing w:after="120"/>
      </w:pPr>
      <w:r>
        <w:t>Neural prior: CNN maps (miss,hit,unknown)→ per-cell ship probability.</w:t>
      </w:r>
    </w:p>
    <w:p>
      <w:pPr>
        <w:spacing w:after="120"/>
      </w:pPr>
      <w:r>
        <w:t>Monte Carlo posterior: sample full-consistent placements to build occupancy frequencies.</w:t>
      </w:r>
    </w:p>
    <w:p>
      <w:pPr>
        <w:spacing w:after="120"/>
      </w:pPr>
      <w:r>
        <w:t>Information gain: expected entropy reduction via MC p(hit).</w:t>
      </w:r>
    </w:p>
    <w:p>
      <w:pPr>
        <w:spacing w:after="120"/>
      </w:pPr>
      <w:r>
        <w:t>Meta-weights: blend grids (density, neural, MC, info, opponent) and boost neighbours of unsunk hits.</w:t>
      </w:r>
    </w:p>
    <w:p>
      <w:pPr>
        <w:spacing w:after="120"/>
      </w:pPr>
      <w:r>
        <w:t>GA: tournament selection, uniform crossover, Gaussian mutation; fitness = 100×win_rate − avg_moves.</w:t>
      </w:r>
    </w:p>
    <w:p>
      <w:pPr>
        <w:pStyle w:val="Heading1"/>
      </w:pPr>
      <w:r>
        <w:t>4. Implementation</w:t>
      </w:r>
    </w:p>
    <w:p>
      <w:pPr>
        <w:spacing w:after="120"/>
      </w:pPr>
      <w:r>
        <w:t>Codebase covers agents, training scripts, and a Tk dashboard. Logs, datasets, and models reside under data/models/logs.</w:t>
      </w:r>
    </w:p>
    <w:p>
      <w:pPr>
        <w:pStyle w:val="Heading1"/>
      </w:pPr>
      <w:r>
        <w:t>5. Experiments</w:t>
      </w:r>
    </w:p>
    <w:p>
      <w:pPr>
        <w:spacing w:after="120"/>
      </w:pPr>
      <w:r>
        <w:t>Quick benchmark (10 games/opponent; AIAgent4 as main).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opponent</w:t>
            </w:r>
          </w:p>
        </w:tc>
        <w:tc>
          <w:tcPr>
            <w:tcW w:type="dxa" w:w="1728"/>
          </w:tcPr>
          <w:p>
            <w:r>
              <w:t>games</w:t>
            </w:r>
          </w:p>
        </w:tc>
        <w:tc>
          <w:tcPr>
            <w:tcW w:type="dxa" w:w="1728"/>
          </w:tcPr>
          <w:p>
            <w:r>
              <w:t>main_ai_wins</w:t>
            </w:r>
          </w:p>
        </w:tc>
        <w:tc>
          <w:tcPr>
            <w:tcW w:type="dxa" w:w="1728"/>
          </w:tcPr>
          <w:p>
            <w:r>
              <w:t>main_ai_losses</w:t>
            </w:r>
          </w:p>
        </w:tc>
        <w:tc>
          <w:tcPr>
            <w:tcW w:type="dxa" w:w="1728"/>
          </w:tcPr>
          <w:p>
            <w:r>
              <w:t>avg_moves_to_win</w:t>
            </w:r>
          </w:p>
        </w:tc>
      </w:tr>
      <w:tr>
        <w:tc>
          <w:tcPr>
            <w:tcW w:type="dxa" w:w="1728"/>
          </w:tcPr>
          <w:p>
            <w:r>
              <w:t>UltimateBattleshipAgent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42.0</w:t>
            </w:r>
          </w:p>
        </w:tc>
      </w:tr>
      <w:tr>
        <w:tc>
          <w:tcPr>
            <w:tcW w:type="dxa" w:w="1728"/>
          </w:tcPr>
          <w:p>
            <w:r>
              <w:t>NaiveAgent6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45.2</w:t>
            </w:r>
          </w:p>
        </w:tc>
      </w:tr>
      <w:tr>
        <w:tc>
          <w:tcPr>
            <w:tcW w:type="dxa" w:w="1728"/>
          </w:tcPr>
          <w:p>
            <w:r>
              <w:t>AIPlayer2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40.8</w:t>
            </w:r>
          </w:p>
        </w:tc>
      </w:tr>
    </w:tbl>
    <w:p>
      <w:pPr>
        <w:pStyle w:val="Heading1"/>
      </w:pPr>
      <w:r>
        <w:t>6. Discussion</w:t>
      </w:r>
    </w:p>
    <w:p>
      <w:pPr>
        <w:spacing w:after="120"/>
      </w:pPr>
      <w:r>
        <w:t>Strengths: complete system; robust blend; GA tuning. Limitations: opponent prior not yet fully folded into inference; RL gains not extensively reported; evaluation vs stronger public baselines is future work.</w:t>
      </w:r>
    </w:p>
    <w:p>
      <w:pPr>
        <w:pStyle w:val="Heading1"/>
      </w:pPr>
      <w:r>
        <w:t>7. Reproducibility</w:t>
      </w:r>
    </w:p>
    <w:p>
      <w:pPr>
        <w:spacing w:after="120"/>
      </w:pPr>
      <w:r>
        <w:t>See docs/: setup, seeds, commands; scripts for dataset generation, training, and GA.</w:t>
      </w:r>
    </w:p>
    <w:p>
      <w:pPr>
        <w:pStyle w:val="Heading1"/>
      </w:pPr>
      <w:r>
        <w:t>8. Conclusion</w:t>
      </w:r>
    </w:p>
    <w:p>
      <w:pPr>
        <w:spacing w:after="120"/>
      </w:pPr>
      <w:r>
        <w:t>A practical, extensible Battleship AI stack; future work: end-to-end opponent prior integration, rigorous ablations, larger-scale evaluation.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