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Times New Roman" w:hAnsi="Times New Roman"/>
          <w:b/>
          <w:sz w:val="28"/>
        </w:rPr>
        <w:t>République Algérienne Démocratique et Populaire</w:t>
      </w:r>
    </w:p>
    <w:p>
      <w:pPr>
        <w:jc w:val="center"/>
      </w:pPr>
      <w:r>
        <w:rPr>
          <w:rFonts w:ascii="Times New Roman" w:hAnsi="Times New Roman"/>
          <w:b/>
          <w:sz w:val="24"/>
        </w:rPr>
        <w:t>Ministère de l'Enseignement Supérieur et de la Recherche Scientifique</w:t>
      </w:r>
    </w:p>
    <w:p>
      <w:pPr>
        <w:jc w:val="center"/>
      </w:pPr>
      <w:r>
        <w:rPr>
          <w:rFonts w:ascii="Times New Roman" w:hAnsi="Times New Roman"/>
          <w:b/>
          <w:sz w:val="24"/>
        </w:rPr>
        <w:t>Université Badji Mokhtar — Annaba</w:t>
      </w:r>
    </w:p>
    <w:p>
      <w:pPr>
        <w:jc w:val="center"/>
      </w:pPr>
      <w:r>
        <w:rPr>
          <w:rFonts w:ascii="Times New Roman" w:hAnsi="Times New Roman"/>
          <w:b/>
          <w:sz w:val="24"/>
        </w:rPr>
        <w:t>Faculté de Technologie</w:t>
      </w:r>
    </w:p>
    <w:p>
      <w:pPr>
        <w:jc w:val="center"/>
      </w:pPr>
      <w:r>
        <w:rPr>
          <w:rFonts w:ascii="Times New Roman" w:hAnsi="Times New Roman"/>
          <w:b/>
          <w:sz w:val="24"/>
        </w:rPr>
        <w:t>Département d'Informatique</w:t>
      </w:r>
    </w:p>
    <w:p/>
    <w:p>
      <w:pPr>
        <w:jc w:val="center"/>
      </w:pPr>
      <w:r>
        <w:rPr>
          <w:rFonts w:ascii="Times New Roman" w:hAnsi="Times New Roman"/>
          <w:b/>
          <w:sz w:val="30"/>
        </w:rPr>
        <w:t>Mémoire de fin d'études</w:t>
      </w:r>
    </w:p>
    <w:p>
      <w:pPr>
        <w:jc w:val="center"/>
      </w:pPr>
      <w:r>
        <w:rPr>
          <w:rFonts w:ascii="Times New Roman" w:hAnsi="Times New Roman"/>
          <w:b/>
          <w:sz w:val="26"/>
        </w:rPr>
        <w:t>Dans le cadre de l'Arrêté Ministériel n° 1275</w:t>
      </w:r>
    </w:p>
    <w:p>
      <w:pPr>
        <w:jc w:val="center"/>
      </w:pPr>
      <w:r>
        <w:rPr>
          <w:rFonts w:ascii="Times New Roman" w:hAnsi="Times New Roman"/>
          <w:b/>
          <w:sz w:val="26"/>
        </w:rPr>
        <w:t>Diplôme / Startup</w:t>
      </w:r>
    </w:p>
    <w:p/>
    <w:p/>
    <w:p>
      <w:pPr>
        <w:jc w:val="center"/>
      </w:pPr>
      <w:r>
        <w:rPr>
          <w:rFonts w:ascii="Times New Roman" w:hAnsi="Times New Roman"/>
          <w:b/>
          <w:sz w:val="40"/>
        </w:rPr>
        <w:t>Smart Healthy</w:t>
      </w:r>
    </w:p>
    <w:p>
      <w:pPr>
        <w:jc w:val="center"/>
      </w:pPr>
      <w:r>
        <w:rPr>
          <w:rFonts w:ascii="Times New Roman" w:hAnsi="Times New Roman"/>
          <w:b/>
          <w:sz w:val="26"/>
        </w:rPr>
        <w:t>Plateforme web de nutrition personnalisée pour patients atteints</w:t>
      </w:r>
    </w:p>
    <w:p>
      <w:pPr>
        <w:jc w:val="center"/>
      </w:pPr>
      <w:r>
        <w:rPr>
          <w:rFonts w:ascii="Times New Roman" w:hAnsi="Times New Roman"/>
          <w:b/>
          <w:sz w:val="26"/>
        </w:rPr>
        <w:t>de maladies chroniques (diabète et maladie cœliaque)</w:t>
      </w:r>
    </w:p>
    <w:p/>
    <w:p/>
    <w:p>
      <w:pPr>
        <w:jc w:val="center"/>
      </w:pPr>
      <w:r>
        <w:rPr>
          <w:rFonts w:ascii="Times New Roman" w:hAnsi="Times New Roman"/>
          <w:b/>
          <w:sz w:val="24"/>
        </w:rPr>
        <w:t>Présenté par :</w:t>
      </w:r>
    </w:p>
    <w:p>
      <w:pPr>
        <w:jc w:val="center"/>
      </w:pPr>
      <w:r>
        <w:rPr>
          <w:rFonts w:ascii="Times New Roman" w:hAnsi="Times New Roman"/>
          <w:b/>
          <w:sz w:val="30"/>
        </w:rPr>
        <w:t>Mezouari Abdelkader</w:t>
      </w:r>
    </w:p>
    <w:p>
      <w:pPr>
        <w:jc w:val="center"/>
      </w:pPr>
      <w:r>
        <w:rPr>
          <w:rFonts w:ascii="Times New Roman" w:hAnsi="Times New Roman"/>
          <w:b/>
          <w:sz w:val="24"/>
        </w:rPr>
        <w:t>Master 2 Systèmes d'Information Décisionnels (SID)</w:t>
      </w:r>
    </w:p>
    <w:p/>
    <w:p>
      <w:pPr>
        <w:jc w:val="center"/>
      </w:pPr>
      <w:r>
        <w:rPr>
          <w:rFonts w:ascii="Times New Roman" w:hAnsi="Times New Roman"/>
          <w:b/>
          <w:sz w:val="24"/>
        </w:rPr>
        <w:t>Année universitaire 2025/2026</w:t>
      </w:r>
    </w:p>
    <w:p>
      <w:r>
        <w:br w:type="page"/>
      </w:r>
    </w:p>
    <w:p>
      <w:pPr>
        <w:spacing w:before="240" w:after="120"/>
      </w:pPr>
      <w:r>
        <w:rPr>
          <w:rFonts w:ascii="Times New Roman" w:hAnsi="Times New Roman"/>
          <w:b/>
          <w:color w:val="000000"/>
          <w:sz w:val="30"/>
        </w:rPr>
        <w:t>Carte d'information</w:t>
      </w:r>
    </w:p>
    <w:p>
      <w:pPr>
        <w:spacing w:before="160" w:after="80"/>
      </w:pPr>
      <w:r>
        <w:rPr>
          <w:rFonts w:ascii="Times New Roman" w:hAnsi="Times New Roman"/>
          <w:b/>
          <w:sz w:val="26"/>
        </w:rPr>
        <w:t>Équipe d'encadrement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0"/>
              </w:rPr>
              <w:t>Rôle</w:t>
            </w:r>
          </w:p>
        </w:tc>
        <w:tc>
          <w:tcPr>
            <w:tcW w:type="dxa" w:w="3135"/>
            <w:shd w:fill="D9E2F3"/>
          </w:tcPr>
          <w:p>
            <w:pPr>
              <w:jc w:val="center"/>
            </w:pPr>
            <w:r/>
            <w:r>
              <w:rPr>
                <w:rFonts w:ascii="Times New Roman" w:hAnsi="Times New Roman"/>
                <w:b/>
                <w:sz w:val="20"/>
              </w:rPr>
              <w:t>Nom</w:t>
            </w:r>
          </w:p>
        </w:tc>
        <w:tc>
          <w:tcPr>
            <w:tcW w:type="dxa" w:w="3135"/>
            <w:shd w:fill="D9E2F3"/>
          </w:tcPr>
          <w:p>
            <w:pPr>
              <w:jc w:val="center"/>
            </w:pPr>
            <w:r/>
            <w:r>
              <w:rPr>
                <w:rFonts w:ascii="Times New Roman" w:hAnsi="Times New Roman"/>
                <w:b/>
                <w:sz w:val="20"/>
              </w:rPr>
              <w:t>Spécialité</w:t>
            </w:r>
          </w:p>
        </w:tc>
      </w:tr>
      <w:tr>
        <w:tc>
          <w:tcPr>
            <w:tcW w:type="dxa" w:w="3135"/>
          </w:tcPr>
          <w:p>
            <w:r/>
            <w:r>
              <w:rPr>
                <w:rFonts w:ascii="Times New Roman" w:hAnsi="Times New Roman"/>
                <w:sz w:val="20"/>
              </w:rPr>
              <w:t>Encadrante principale</w:t>
            </w:r>
          </w:p>
        </w:tc>
        <w:tc>
          <w:tcPr>
            <w:tcW w:type="dxa" w:w="3135"/>
          </w:tcPr>
          <w:p>
            <w:r/>
            <w:r>
              <w:rPr>
                <w:rFonts w:ascii="Times New Roman" w:hAnsi="Times New Roman"/>
                <w:sz w:val="20"/>
              </w:rPr>
              <w:t>Mme Dendani Nadjette, Professeure</w:t>
            </w:r>
          </w:p>
        </w:tc>
        <w:tc>
          <w:tcPr>
            <w:tcW w:type="dxa" w:w="3135"/>
          </w:tcPr>
          <w:p>
            <w:r/>
            <w:r>
              <w:rPr>
                <w:rFonts w:ascii="Times New Roman" w:hAnsi="Times New Roman"/>
                <w:sz w:val="20"/>
              </w:rPr>
              <w:t>Intelligence Artificielle, Systèmes d'Aide à la Décision</w:t>
            </w:r>
          </w:p>
        </w:tc>
      </w:tr>
      <w:tr>
        <w:tc>
          <w:tcPr>
            <w:tcW w:type="dxa" w:w="3135"/>
          </w:tcPr>
          <w:p>
            <w:r/>
            <w:r>
              <w:rPr>
                <w:rFonts w:ascii="Times New Roman" w:hAnsi="Times New Roman"/>
                <w:sz w:val="20"/>
              </w:rPr>
              <w:t>Co-encadrante</w:t>
            </w:r>
          </w:p>
        </w:tc>
        <w:tc>
          <w:tcPr>
            <w:tcW w:type="dxa" w:w="3135"/>
          </w:tcPr>
          <w:p>
            <w:r/>
            <w:r>
              <w:rPr>
                <w:rFonts w:ascii="Times New Roman" w:hAnsi="Times New Roman"/>
                <w:sz w:val="20"/>
              </w:rPr>
              <w:t>Mme Azizi Nabira, Professeure</w:t>
            </w:r>
          </w:p>
        </w:tc>
        <w:tc>
          <w:tcPr>
            <w:tcW w:type="dxa" w:w="3135"/>
          </w:tcPr>
          <w:p>
            <w:r/>
            <w:r>
              <w:rPr>
                <w:rFonts w:ascii="Times New Roman" w:hAnsi="Times New Roman"/>
                <w:sz w:val="20"/>
              </w:rPr>
              <w:t>Intelligence Artificielle, Systèmes d'Aide à la Décision</w:t>
            </w:r>
          </w:p>
        </w:tc>
      </w:tr>
    </w:tbl>
    <w:p/>
    <w:p>
      <w:pPr>
        <w:spacing w:before="160" w:after="80"/>
      </w:pPr>
      <w:r>
        <w:rPr>
          <w:rFonts w:ascii="Times New Roman" w:hAnsi="Times New Roman"/>
          <w:b/>
          <w:sz w:val="26"/>
        </w:rPr>
        <w:t>Équipe de projet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0"/>
              </w:rPr>
              <w:t>Étudiant</w:t>
            </w:r>
          </w:p>
        </w:tc>
        <w:tc>
          <w:tcPr>
            <w:tcW w:type="dxa" w:w="3135"/>
            <w:shd w:fill="D9E2F3"/>
          </w:tcPr>
          <w:p>
            <w:pPr>
              <w:jc w:val="center"/>
            </w:pPr>
            <w:r/>
            <w:r>
              <w:rPr>
                <w:rFonts w:ascii="Times New Roman" w:hAnsi="Times New Roman"/>
                <w:b/>
                <w:sz w:val="20"/>
              </w:rPr>
              <w:t>Faculté</w:t>
            </w:r>
          </w:p>
        </w:tc>
        <w:tc>
          <w:tcPr>
            <w:tcW w:type="dxa" w:w="3135"/>
            <w:shd w:fill="D9E2F3"/>
          </w:tcPr>
          <w:p>
            <w:pPr>
              <w:jc w:val="center"/>
            </w:pPr>
            <w:r/>
            <w:r>
              <w:rPr>
                <w:rFonts w:ascii="Times New Roman" w:hAnsi="Times New Roman"/>
                <w:b/>
                <w:sz w:val="20"/>
              </w:rPr>
              <w:t>Spécialité</w:t>
            </w:r>
          </w:p>
        </w:tc>
      </w:tr>
      <w:tr>
        <w:tc>
          <w:tcPr>
            <w:tcW w:type="dxa" w:w="3135"/>
          </w:tcPr>
          <w:p>
            <w:r/>
            <w:r>
              <w:rPr>
                <w:rFonts w:ascii="Times New Roman" w:hAnsi="Times New Roman"/>
                <w:sz w:val="20"/>
              </w:rPr>
              <w:t>Mezouari Abdelkader</w:t>
            </w:r>
          </w:p>
        </w:tc>
        <w:tc>
          <w:tcPr>
            <w:tcW w:type="dxa" w:w="3135"/>
          </w:tcPr>
          <w:p>
            <w:r/>
            <w:r>
              <w:rPr>
                <w:rFonts w:ascii="Times New Roman" w:hAnsi="Times New Roman"/>
                <w:sz w:val="20"/>
              </w:rPr>
              <w:t>Faculté de Technologie</w:t>
            </w:r>
          </w:p>
        </w:tc>
        <w:tc>
          <w:tcPr>
            <w:tcW w:type="dxa" w:w="3135"/>
          </w:tcPr>
          <w:p>
            <w:r/>
            <w:r>
              <w:rPr>
                <w:rFonts w:ascii="Times New Roman" w:hAnsi="Times New Roman"/>
                <w:sz w:val="20"/>
              </w:rPr>
              <w:t>Master 2 SID</w:t>
            </w:r>
          </w:p>
        </w:tc>
      </w:tr>
    </w:tbl>
    <w:p>
      <w:r>
        <w:br w:type="page"/>
      </w:r>
    </w:p>
    <w:p>
      <w:pPr>
        <w:spacing w:before="240" w:after="120"/>
      </w:pPr>
      <w:r>
        <w:rPr>
          <w:rFonts w:ascii="Times New Roman" w:hAnsi="Times New Roman"/>
          <w:b/>
          <w:color w:val="000000"/>
          <w:sz w:val="30"/>
        </w:rPr>
        <w:t>Introduction</w:t>
      </w:r>
    </w:p>
    <w:p>
      <w:pPr>
        <w:spacing w:after="80"/>
      </w:pPr>
      <w:r>
        <w:rPr>
          <w:rFonts w:ascii="Times New Roman" w:hAnsi="Times New Roman"/>
          <w:b w:val="0"/>
          <w:sz w:val="24"/>
        </w:rPr>
        <w:t>Ce mémoire est présenté dans le cadre du dispositif de l'Arrêté Ministériel n° 1275 — Diplôme/Startup. Il présente le projet Smart Healthy, une plateforme web de nutrition personnalisée destinée aux personnes atteintes de maladies chroniques, notamment le diabète et la maladie cœliaque.</w:t>
      </w:r>
    </w:p>
    <w:p>
      <w:pPr>
        <w:spacing w:after="80"/>
      </w:pPr>
      <w:r>
        <w:rPr>
          <w:rFonts w:ascii="Times New Roman" w:hAnsi="Times New Roman"/>
          <w:b w:val="0"/>
          <w:sz w:val="24"/>
        </w:rPr>
        <w:t>Smart Healthy adopte une approche d'innovation numérique et vise à apporter une solution concrète à un réel besoin du marché : accompagner les patients dans la gestion de leur alimentation quotidienne grâce à des recommandations adaptées à leur profil de santé, leurs restrictions alimentaires et leurs objectifs nutritionnels. Le projet combine une plateforme web interactive, un moteur de scoring nutritionnel intelligent, un catalogue de produits algériens, des recettes personnalisées et des contenus éducatifs.</w:t>
      </w:r>
    </w:p>
    <w:p>
      <w:pPr>
        <w:spacing w:before="240" w:after="120"/>
      </w:pPr>
      <w:r>
        <w:rPr>
          <w:rFonts w:ascii="Times New Roman" w:hAnsi="Times New Roman"/>
          <w:b/>
          <w:color w:val="000000"/>
          <w:sz w:val="30"/>
        </w:rPr>
        <w:t>Premier axe : Présentation du projet</w:t>
      </w:r>
    </w:p>
    <w:p>
      <w:pPr>
        <w:spacing w:before="160" w:after="80"/>
      </w:pPr>
      <w:r>
        <w:rPr>
          <w:rFonts w:ascii="Times New Roman" w:hAnsi="Times New Roman"/>
          <w:b/>
          <w:sz w:val="26"/>
        </w:rPr>
        <w:t>1. L'idée de projet (solution proposée)</w:t>
      </w:r>
    </w:p>
    <w:p>
      <w:pPr>
        <w:spacing w:after="80"/>
      </w:pPr>
      <w:r>
        <w:rPr>
          <w:rFonts w:ascii="Times New Roman" w:hAnsi="Times New Roman"/>
          <w:b w:val="0"/>
          <w:sz w:val="24"/>
        </w:rPr>
        <w:t>Smart Healthy est une plateforme web de nutrition personnalisée relevant du domaine des applications modernes de santé numérique. Elle est destinée aux personnes atteintes de maladies chroniques, notamment le diabète et la maladie cœliaque.</w:t>
      </w:r>
    </w:p>
    <w:p>
      <w:pPr>
        <w:spacing w:after="80"/>
      </w:pPr>
      <w:r>
        <w:rPr>
          <w:rFonts w:ascii="Times New Roman" w:hAnsi="Times New Roman"/>
          <w:b w:val="0"/>
          <w:sz w:val="24"/>
        </w:rPr>
        <w:t>Problématique : Les patients chroniques doivent surveiller leur alimentation en permanence, mais les informations nutritionnelles pertinentes sont dispersées, techniques et difficiles à exploiter au quotidien. Aucune solution numérique adaptée au contexte algérien n'existe.</w:t>
      </w:r>
    </w:p>
    <w:p>
      <w:pPr>
        <w:spacing w:after="80"/>
      </w:pPr>
      <w:r>
        <w:rPr>
          <w:rFonts w:ascii="Times New Roman" w:hAnsi="Times New Roman"/>
          <w:b w:val="0"/>
          <w:sz w:val="24"/>
        </w:rPr>
        <w:t>Solution : Une plateforme web qui centralise les informations nutritionnelles, filtre les produits selon leur compatibilité avec le profil médical du patient, propose des recettes adaptées et fournit des contenus éducatifs personnalisés. L'utilisateur crée son profil de santé (âge, poids, taille, pathologie, objectifs) et le système génère des recommandations en temps réel.</w:t>
      </w:r>
    </w:p>
    <w:p>
      <w:pPr>
        <w:spacing w:after="80"/>
      </w:pPr>
      <w:r>
        <w:rPr>
          <w:rFonts w:ascii="Times New Roman" w:hAnsi="Times New Roman"/>
          <w:b w:val="0"/>
          <w:sz w:val="24"/>
        </w:rPr>
        <w:t>Cas concret : Un patient diabétique se connecte, renseigne son profil (diabète type 2, objectif : contrôler la glycémie). La plateforme lui affiche des produits à faible indice glycémique, des recettes adaptées (salades, légumineuses, quinoa) et des articles éducatifs sur la gestion des glucides. Il peut également localiser les magasins partenaires via une carte interactive.</w:t>
      </w:r>
    </w:p>
    <w:p>
      <w:pPr>
        <w:spacing w:before="160" w:after="80"/>
      </w:pPr>
      <w:r>
        <w:rPr>
          <w:rFonts w:ascii="Times New Roman" w:hAnsi="Times New Roman"/>
          <w:b/>
          <w:sz w:val="26"/>
        </w:rPr>
        <w:t>2. Les valeurs proposées</w:t>
      </w:r>
    </w:p>
    <w:p>
      <w:pPr>
        <w:pStyle w:val="ListBullet"/>
      </w:pPr>
      <w:r>
        <w:rPr>
          <w:rFonts w:ascii="Times New Roman" w:hAnsi="Times New Roman"/>
          <w:b/>
          <w:sz w:val="24"/>
        </w:rPr>
        <w:t xml:space="preserve">Modernité : </w:t>
      </w:r>
      <w:r>
        <w:rPr>
          <w:rFonts w:ascii="Times New Roman" w:hAnsi="Times New Roman"/>
          <w:sz w:val="24"/>
        </w:rPr>
        <w:t>Solution numérique intelligente répondant à un besoin croissant d'accompagnement nutritionnel personnalisé.</w:t>
      </w:r>
    </w:p>
    <w:p>
      <w:pPr>
        <w:pStyle w:val="ListBullet"/>
      </w:pPr>
      <w:r>
        <w:rPr>
          <w:rFonts w:ascii="Times New Roman" w:hAnsi="Times New Roman"/>
          <w:b/>
          <w:sz w:val="24"/>
        </w:rPr>
        <w:t xml:space="preserve">Performance : </w:t>
      </w:r>
      <w:r>
        <w:rPr>
          <w:rFonts w:ascii="Times New Roman" w:hAnsi="Times New Roman"/>
          <w:sz w:val="24"/>
        </w:rPr>
        <w:t>Recommandations fiables, rapides et cohérentes avec les attentes du patient.</w:t>
      </w:r>
    </w:p>
    <w:p>
      <w:pPr>
        <w:pStyle w:val="ListBullet"/>
      </w:pPr>
      <w:r>
        <w:rPr>
          <w:rFonts w:ascii="Times New Roman" w:hAnsi="Times New Roman"/>
          <w:b/>
          <w:sz w:val="24"/>
        </w:rPr>
        <w:t xml:space="preserve">Flexibilité : </w:t>
      </w:r>
      <w:r>
        <w:rPr>
          <w:rFonts w:ascii="Times New Roman" w:hAnsi="Times New Roman"/>
          <w:sz w:val="24"/>
        </w:rPr>
        <w:t>Adaptation aux différents profils (diabétique, cœliaque, mode sain, végétarien) et évolutivité.</w:t>
      </w:r>
    </w:p>
    <w:p>
      <w:pPr>
        <w:pStyle w:val="ListBullet"/>
      </w:pPr>
      <w:r>
        <w:rPr>
          <w:rFonts w:ascii="Times New Roman" w:hAnsi="Times New Roman"/>
          <w:b/>
          <w:sz w:val="24"/>
        </w:rPr>
        <w:t xml:space="preserve">Accomplissement des tâches : </w:t>
      </w:r>
      <w:r>
        <w:rPr>
          <w:rFonts w:ascii="Times New Roman" w:hAnsi="Times New Roman"/>
          <w:sz w:val="24"/>
        </w:rPr>
        <w:t>Vérification de compatibilité des produits, recherche de recettes, consultation nutritionnelle en quelques clics.</w:t>
      </w:r>
    </w:p>
    <w:p>
      <w:pPr>
        <w:pStyle w:val="ListBullet"/>
      </w:pPr>
      <w:r>
        <w:rPr>
          <w:rFonts w:ascii="Times New Roman" w:hAnsi="Times New Roman"/>
          <w:b/>
          <w:sz w:val="24"/>
        </w:rPr>
        <w:t xml:space="preserve">Conception : </w:t>
      </w:r>
      <w:r>
        <w:rPr>
          <w:rFonts w:ascii="Times New Roman" w:hAnsi="Times New Roman"/>
          <w:sz w:val="24"/>
        </w:rPr>
        <w:t>Interface intuitive organisée autour du profil santé, axée sur la pertinence fonctionnelle.</w:t>
      </w:r>
    </w:p>
    <w:p>
      <w:pPr>
        <w:pStyle w:val="ListBullet"/>
      </w:pPr>
      <w:r>
        <w:rPr>
          <w:rFonts w:ascii="Times New Roman" w:hAnsi="Times New Roman"/>
          <w:b/>
          <w:sz w:val="24"/>
        </w:rPr>
        <w:t xml:space="preserve">Réduction des risques : </w:t>
      </w:r>
      <w:r>
        <w:rPr>
          <w:rFonts w:ascii="Times New Roman" w:hAnsi="Times New Roman"/>
          <w:sz w:val="24"/>
        </w:rPr>
        <w:t>Signalement des aliments incompatibles, prévention des complications liées à une mauvaise alimentation.</w:t>
      </w:r>
    </w:p>
    <w:p>
      <w:pPr>
        <w:pStyle w:val="ListBullet"/>
      </w:pPr>
      <w:r>
        <w:rPr>
          <w:rFonts w:ascii="Times New Roman" w:hAnsi="Times New Roman"/>
          <w:b/>
          <w:sz w:val="24"/>
        </w:rPr>
        <w:t xml:space="preserve">Facilité d'utilisation : </w:t>
      </w:r>
      <w:r>
        <w:rPr>
          <w:rFonts w:ascii="Times New Roman" w:hAnsi="Times New Roman"/>
          <w:sz w:val="24"/>
        </w:rPr>
        <w:t>Parcours guidé (onboarding), filtres clairs, navigation intuitive favorisant l'adoption.</w:t>
      </w:r>
    </w:p>
    <w:p>
      <w:pPr>
        <w:spacing w:after="80"/>
      </w:pPr>
      <w:r>
        <w:rPr>
          <w:rFonts w:ascii="Times New Roman" w:hAnsi="Times New Roman"/>
          <w:b w:val="0"/>
          <w:sz w:val="24"/>
        </w:rPr>
        <w:t>Objectif stratégique : Smart Healthy vise à devenir une référence locale dans l'accompagnement nutritionnel numérique des patients chroniques en Algérie.</w:t>
      </w:r>
    </w:p>
    <w:p>
      <w:pPr>
        <w:spacing w:before="160" w:after="80"/>
      </w:pPr>
      <w:r>
        <w:rPr>
          <w:rFonts w:ascii="Times New Roman" w:hAnsi="Times New Roman"/>
          <w:b/>
          <w:sz w:val="26"/>
        </w:rPr>
        <w:t>3. Équipe de travail</w:t>
      </w:r>
    </w:p>
    <w:p>
      <w:pPr>
        <w:spacing w:after="80"/>
      </w:pPr>
      <w:r>
        <w:rPr>
          <w:rFonts w:ascii="Times New Roman" w:hAnsi="Times New Roman"/>
          <w:b w:val="0"/>
          <w:sz w:val="24"/>
        </w:rPr>
        <w:t>Le projet Smart Healthy a été réalisé individuellement par Mezouari Abdelkader, étudiant en Master 2 Systèmes d'Information Décisionnels (SID) à la Faculté de Technologie de l'Université Badji Mokhtar — Annaba.</w:t>
      </w:r>
    </w:p>
    <w:p>
      <w:pPr>
        <w:spacing w:after="80"/>
      </w:pPr>
      <w:r>
        <w:rPr>
          <w:rFonts w:ascii="Times New Roman" w:hAnsi="Times New Roman"/>
          <w:b/>
          <w:sz w:val="24"/>
        </w:rPr>
        <w:t>Encadrement pédagogique :</w:t>
      </w:r>
    </w:p>
    <w:p>
      <w:pPr>
        <w:pStyle w:val="ListBullet"/>
      </w:pPr>
      <w:r>
        <w:rPr>
          <w:rFonts w:ascii="Times New Roman" w:hAnsi="Times New Roman"/>
          <w:sz w:val="24"/>
        </w:rPr>
        <w:t>Mme Dendani Nadjette, Professeure — Encadrante principale. Spécialiste en Intelligence Artificielle et Systèmes d'Aide à la Décision.</w:t>
      </w:r>
    </w:p>
    <w:p>
      <w:pPr>
        <w:pStyle w:val="ListBullet"/>
      </w:pPr>
      <w:r>
        <w:rPr>
          <w:rFonts w:ascii="Times New Roman" w:hAnsi="Times New Roman"/>
          <w:sz w:val="24"/>
        </w:rPr>
        <w:t>Mme Azizi Nabira, Professeure — Co-encadrante. Spécialiste en Intelligence Artificielle et Systèmes d'Aide à la Décision.</w:t>
      </w:r>
    </w:p>
    <w:p>
      <w:pPr>
        <w:spacing w:after="80"/>
      </w:pPr>
      <w:r>
        <w:rPr>
          <w:rFonts w:ascii="Times New Roman" w:hAnsi="Times New Roman"/>
          <w:b w:val="0"/>
          <w:sz w:val="24"/>
        </w:rPr>
        <w:t>Organisation : Mezouari Abdelkader assure la conception, le développement et la rédaction. Les encadrantes supervisent la méthodologie et valident les choix techniques et scientifiques.</w:t>
      </w:r>
    </w:p>
    <w:p>
      <w:pPr>
        <w:spacing w:before="160" w:after="80"/>
      </w:pPr>
      <w:r>
        <w:rPr>
          <w:rFonts w:ascii="Times New Roman" w:hAnsi="Times New Roman"/>
          <w:b/>
          <w:sz w:val="26"/>
        </w:rPr>
        <w:t>4. Objectifs du projet</w:t>
      </w:r>
    </w:p>
    <w:p>
      <w:pPr>
        <w:spacing w:after="80"/>
      </w:pPr>
      <w:r>
        <w:rPr>
          <w:rFonts w:ascii="Times New Roman" w:hAnsi="Times New Roman"/>
          <w:b w:val="0"/>
          <w:sz w:val="24"/>
        </w:rPr>
        <w:t>Objectif principal : Développer une plateforme numérique de nutrition personnalisée pour les patients atteints de maladies chroniques (diabète, maladie cœliaque) afin de les aider à mieux gérer leur alimentation au quotidien.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0"/>
              </w:rPr>
              <w:t>Horizon</w:t>
            </w:r>
          </w:p>
        </w:tc>
        <w:tc>
          <w:tcPr>
            <w:tcW w:type="dxa" w:w="3135"/>
            <w:shd w:fill="D9E2F3"/>
          </w:tcPr>
          <w:p>
            <w:pPr>
              <w:jc w:val="center"/>
            </w:pPr>
            <w:r/>
            <w:r>
              <w:rPr>
                <w:rFonts w:ascii="Times New Roman" w:hAnsi="Times New Roman"/>
                <w:b/>
                <w:sz w:val="20"/>
              </w:rPr>
              <w:t>Objectifs</w:t>
            </w:r>
          </w:p>
        </w:tc>
        <w:tc>
          <w:tcPr>
            <w:tcW w:type="dxa" w:w="3135"/>
            <w:shd w:fill="D9E2F3"/>
          </w:tcPr>
          <w:p>
            <w:pPr>
              <w:jc w:val="center"/>
            </w:pPr>
            <w:r/>
            <w:r>
              <w:rPr>
                <w:rFonts w:ascii="Times New Roman" w:hAnsi="Times New Roman"/>
                <w:b/>
                <w:sz w:val="20"/>
              </w:rPr>
              <w:t>Part de marché</w:t>
            </w:r>
          </w:p>
        </w:tc>
      </w:tr>
      <w:tr>
        <w:tc>
          <w:tcPr>
            <w:tcW w:type="dxa" w:w="3135"/>
          </w:tcPr>
          <w:p>
            <w:r/>
            <w:r>
              <w:rPr>
                <w:rFonts w:ascii="Times New Roman" w:hAnsi="Times New Roman"/>
                <w:sz w:val="20"/>
              </w:rPr>
              <w:t>Court terme (N)</w:t>
            </w:r>
          </w:p>
        </w:tc>
        <w:tc>
          <w:tcPr>
            <w:tcW w:type="dxa" w:w="3135"/>
          </w:tcPr>
          <w:p>
            <w:r/>
            <w:r>
              <w:rPr>
                <w:rFonts w:ascii="Times New Roman" w:hAnsi="Times New Roman"/>
                <w:sz w:val="20"/>
              </w:rPr>
              <w:t>Version fonctionnelle, premiers utilisateurs (niche locale/universitaire)</w:t>
            </w:r>
          </w:p>
        </w:tc>
        <w:tc>
          <w:tcPr>
            <w:tcW w:type="dxa" w:w="3135"/>
          </w:tcPr>
          <w:p>
            <w:r/>
            <w:r>
              <w:rPr>
                <w:rFonts w:ascii="Times New Roman" w:hAnsi="Times New Roman"/>
                <w:sz w:val="20"/>
              </w:rPr>
              <w:t>1 à 3 %</w:t>
            </w:r>
          </w:p>
        </w:tc>
      </w:tr>
      <w:tr>
        <w:tc>
          <w:tcPr>
            <w:tcW w:type="dxa" w:w="3135"/>
          </w:tcPr>
          <w:p>
            <w:r/>
            <w:r>
              <w:rPr>
                <w:rFonts w:ascii="Times New Roman" w:hAnsi="Times New Roman"/>
                <w:sz w:val="20"/>
              </w:rPr>
              <w:t>Moyen terme (N+2/N+3)</w:t>
            </w:r>
          </w:p>
        </w:tc>
        <w:tc>
          <w:tcPr>
            <w:tcW w:type="dxa" w:w="3135"/>
          </w:tcPr>
          <w:p>
            <w:r/>
            <w:r>
              <w:rPr>
                <w:rFonts w:ascii="Times New Roman" w:hAnsi="Times New Roman"/>
                <w:sz w:val="20"/>
              </w:rPr>
              <w:t>Élargissement base utilisateurs, enrichissement catalogue, partenariats</w:t>
            </w:r>
          </w:p>
        </w:tc>
        <w:tc>
          <w:tcPr>
            <w:tcW w:type="dxa" w:w="3135"/>
          </w:tcPr>
          <w:p>
            <w:r/>
            <w:r>
              <w:rPr>
                <w:rFonts w:ascii="Times New Roman" w:hAnsi="Times New Roman"/>
                <w:sz w:val="20"/>
              </w:rPr>
              <w:t>5 à 10 %</w:t>
            </w:r>
          </w:p>
        </w:tc>
      </w:tr>
      <w:tr>
        <w:tc>
          <w:tcPr>
            <w:tcW w:type="dxa" w:w="3135"/>
          </w:tcPr>
          <w:p>
            <w:r/>
            <w:r>
              <w:rPr>
                <w:rFonts w:ascii="Times New Roman" w:hAnsi="Times New Roman"/>
                <w:sz w:val="20"/>
              </w:rPr>
              <w:t>Long terme (N+5)</w:t>
            </w:r>
          </w:p>
        </w:tc>
        <w:tc>
          <w:tcPr>
            <w:tcW w:type="dxa" w:w="3135"/>
          </w:tcPr>
          <w:p>
            <w:r/>
            <w:r>
              <w:rPr>
                <w:rFonts w:ascii="Times New Roman" w:hAnsi="Times New Roman"/>
                <w:sz w:val="20"/>
              </w:rPr>
              <w:t>Référence régionale en nutrition numérique, extension à d'autres pathologies</w:t>
            </w:r>
          </w:p>
        </w:tc>
        <w:tc>
          <w:tcPr>
            <w:tcW w:type="dxa" w:w="3135"/>
          </w:tcPr>
          <w:p>
            <w:r/>
            <w:r>
              <w:rPr>
                <w:rFonts w:ascii="Times New Roman" w:hAnsi="Times New Roman"/>
                <w:sz w:val="20"/>
              </w:rPr>
              <w:t>10 à 15 %</w:t>
            </w:r>
          </w:p>
        </w:tc>
      </w:tr>
    </w:tbl>
    <w:p>
      <w:pPr>
        <w:spacing w:before="160" w:after="80"/>
      </w:pPr>
      <w:r>
        <w:rPr>
          <w:rFonts w:ascii="Times New Roman" w:hAnsi="Times New Roman"/>
          <w:b/>
          <w:sz w:val="26"/>
        </w:rPr>
        <w:t>5. Calendrier de réalisation</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D9E2F3"/>
          </w:tcPr>
          <w:p>
            <w:pPr>
              <w:jc w:val="center"/>
            </w:pPr>
            <w:r/>
            <w:r>
              <w:rPr>
                <w:rFonts w:ascii="Times New Roman" w:hAnsi="Times New Roman"/>
                <w:b/>
                <w:sz w:val="20"/>
              </w:rPr>
              <w:t>Phase</w:t>
            </w:r>
          </w:p>
        </w:tc>
        <w:tc>
          <w:tcPr>
            <w:tcW w:type="dxa" w:w="1176"/>
            <w:shd w:fill="D9E2F3"/>
          </w:tcPr>
          <w:p>
            <w:pPr>
              <w:jc w:val="center"/>
            </w:pPr>
            <w:r/>
            <w:r>
              <w:rPr>
                <w:rFonts w:ascii="Times New Roman" w:hAnsi="Times New Roman"/>
                <w:b/>
                <w:sz w:val="20"/>
              </w:rPr>
              <w:t>Travaux</w:t>
            </w:r>
          </w:p>
        </w:tc>
        <w:tc>
          <w:tcPr>
            <w:tcW w:type="dxa" w:w="1176"/>
            <w:shd w:fill="D9E2F3"/>
          </w:tcPr>
          <w:p>
            <w:pPr>
              <w:jc w:val="center"/>
            </w:pPr>
            <w:r/>
            <w:r>
              <w:rPr>
                <w:rFonts w:ascii="Times New Roman" w:hAnsi="Times New Roman"/>
                <w:b/>
                <w:sz w:val="20"/>
              </w:rPr>
              <w:t>M1</w:t>
            </w:r>
          </w:p>
        </w:tc>
        <w:tc>
          <w:tcPr>
            <w:tcW w:type="dxa" w:w="1176"/>
            <w:shd w:fill="D9E2F3"/>
          </w:tcPr>
          <w:p>
            <w:pPr>
              <w:jc w:val="center"/>
            </w:pPr>
            <w:r/>
            <w:r>
              <w:rPr>
                <w:rFonts w:ascii="Times New Roman" w:hAnsi="Times New Roman"/>
                <w:b/>
                <w:sz w:val="20"/>
              </w:rPr>
              <w:t>M2</w:t>
            </w:r>
          </w:p>
        </w:tc>
        <w:tc>
          <w:tcPr>
            <w:tcW w:type="dxa" w:w="1176"/>
            <w:shd w:fill="D9E2F3"/>
          </w:tcPr>
          <w:p>
            <w:pPr>
              <w:jc w:val="center"/>
            </w:pPr>
            <w:r/>
            <w:r>
              <w:rPr>
                <w:rFonts w:ascii="Times New Roman" w:hAnsi="Times New Roman"/>
                <w:b/>
                <w:sz w:val="20"/>
              </w:rPr>
              <w:t>M3</w:t>
            </w:r>
          </w:p>
        </w:tc>
        <w:tc>
          <w:tcPr>
            <w:tcW w:type="dxa" w:w="1176"/>
            <w:shd w:fill="D9E2F3"/>
          </w:tcPr>
          <w:p>
            <w:pPr>
              <w:jc w:val="center"/>
            </w:pPr>
            <w:r/>
            <w:r>
              <w:rPr>
                <w:rFonts w:ascii="Times New Roman" w:hAnsi="Times New Roman"/>
                <w:b/>
                <w:sz w:val="20"/>
              </w:rPr>
              <w:t>M4</w:t>
            </w:r>
          </w:p>
        </w:tc>
        <w:tc>
          <w:tcPr>
            <w:tcW w:type="dxa" w:w="1176"/>
            <w:shd w:fill="D9E2F3"/>
          </w:tcPr>
          <w:p>
            <w:pPr>
              <w:jc w:val="center"/>
            </w:pPr>
            <w:r/>
            <w:r>
              <w:rPr>
                <w:rFonts w:ascii="Times New Roman" w:hAnsi="Times New Roman"/>
                <w:b/>
                <w:sz w:val="20"/>
              </w:rPr>
              <w:t>M5</w:t>
            </w:r>
          </w:p>
        </w:tc>
        <w:tc>
          <w:tcPr>
            <w:tcW w:type="dxa" w:w="1176"/>
            <w:shd w:fill="D9E2F3"/>
          </w:tcPr>
          <w:p>
            <w:pPr>
              <w:jc w:val="center"/>
            </w:pPr>
            <w:r/>
            <w:r>
              <w:rPr>
                <w:rFonts w:ascii="Times New Roman" w:hAnsi="Times New Roman"/>
                <w:b/>
                <w:sz w:val="20"/>
              </w:rPr>
              <w:t>M6</w:t>
            </w:r>
          </w:p>
        </w:tc>
      </w:tr>
      <w:tr>
        <w:tc>
          <w:tcPr>
            <w:tcW w:type="dxa" w:w="1176"/>
          </w:tcPr>
          <w:p>
            <w:r/>
            <w:r>
              <w:rPr>
                <w:rFonts w:ascii="Times New Roman" w:hAnsi="Times New Roman"/>
                <w:sz w:val="20"/>
              </w:rPr>
              <w:t>1</w:t>
            </w:r>
          </w:p>
        </w:tc>
        <w:tc>
          <w:tcPr>
            <w:tcW w:type="dxa" w:w="1176"/>
          </w:tcPr>
          <w:p>
            <w:r/>
            <w:r>
              <w:rPr>
                <w:rFonts w:ascii="Times New Roman" w:hAnsi="Times New Roman"/>
                <w:sz w:val="20"/>
              </w:rPr>
              <w:t>Conception et analyse des besoins</w:t>
            </w:r>
          </w:p>
        </w:tc>
        <w:tc>
          <w:tcPr>
            <w:tcW w:type="dxa" w:w="1176"/>
          </w:tcPr>
          <w:p>
            <w:r/>
            <w:r>
              <w:rPr>
                <w:rFonts w:ascii="Times New Roman" w:hAnsi="Times New Roman"/>
                <w:sz w:val="20"/>
              </w:rPr>
              <w:t>✓</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r>
      <w:tr>
        <w:tc>
          <w:tcPr>
            <w:tcW w:type="dxa" w:w="1176"/>
          </w:tcPr>
          <w:p>
            <w:r/>
            <w:r>
              <w:rPr>
                <w:rFonts w:ascii="Times New Roman" w:hAnsi="Times New Roman"/>
                <w:sz w:val="20"/>
              </w:rPr>
              <w:t>2</w:t>
            </w:r>
          </w:p>
        </w:tc>
        <w:tc>
          <w:tcPr>
            <w:tcW w:type="dxa" w:w="1176"/>
          </w:tcPr>
          <w:p>
            <w:r/>
            <w:r>
              <w:rPr>
                <w:rFonts w:ascii="Times New Roman" w:hAnsi="Times New Roman"/>
                <w:sz w:val="20"/>
              </w:rPr>
              <w:t>Développement backend (Supabase, RLS, 18 tables)</w:t>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r>
      <w:tr>
        <w:tc>
          <w:tcPr>
            <w:tcW w:type="dxa" w:w="1176"/>
          </w:tcPr>
          <w:p>
            <w:r/>
            <w:r>
              <w:rPr>
                <w:rFonts w:ascii="Times New Roman" w:hAnsi="Times New Roman"/>
                <w:sz w:val="20"/>
              </w:rPr>
              <w:t>3</w:t>
            </w:r>
          </w:p>
        </w:tc>
        <w:tc>
          <w:tcPr>
            <w:tcW w:type="dxa" w:w="1176"/>
          </w:tcPr>
          <w:p>
            <w:r/>
            <w:r>
              <w:rPr>
                <w:rFonts w:ascii="Times New Roman" w:hAnsi="Times New Roman"/>
                <w:sz w:val="20"/>
              </w:rPr>
              <w:t>Développement frontend (Next.js 16, React 19)</w:t>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c>
          <w:tcPr>
            <w:tcW w:type="dxa" w:w="1176"/>
          </w:tcPr>
          <w:p>
            <w:r/>
            <w:r>
              <w:rPr>
                <w:rFonts w:ascii="Times New Roman" w:hAnsi="Times New Roman"/>
                <w:sz w:val="20"/>
              </w:rPr>
            </w:r>
          </w:p>
        </w:tc>
        <w:tc>
          <w:tcPr>
            <w:tcW w:type="dxa" w:w="1176"/>
          </w:tcPr>
          <w:p>
            <w:r/>
            <w:r>
              <w:rPr>
                <w:rFonts w:ascii="Times New Roman" w:hAnsi="Times New Roman"/>
                <w:sz w:val="20"/>
              </w:rPr>
            </w:r>
          </w:p>
        </w:tc>
      </w:tr>
      <w:tr>
        <w:tc>
          <w:tcPr>
            <w:tcW w:type="dxa" w:w="1176"/>
          </w:tcPr>
          <w:p>
            <w:r/>
            <w:r>
              <w:rPr>
                <w:rFonts w:ascii="Times New Roman" w:hAnsi="Times New Roman"/>
                <w:sz w:val="20"/>
              </w:rPr>
              <w:t>4</w:t>
            </w:r>
          </w:p>
        </w:tc>
        <w:tc>
          <w:tcPr>
            <w:tcW w:type="dxa" w:w="1176"/>
          </w:tcPr>
          <w:p>
            <w:r/>
            <w:r>
              <w:rPr>
                <w:rFonts w:ascii="Times New Roman" w:hAnsi="Times New Roman"/>
                <w:sz w:val="20"/>
              </w:rPr>
              <w:t>Intégration du moteur de scoring nutritionnel</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r>
          </w:p>
        </w:tc>
        <w:tc>
          <w:tcPr>
            <w:tcW w:type="dxa" w:w="1176"/>
          </w:tcPr>
          <w:p>
            <w:r/>
            <w:r>
              <w:rPr>
                <w:rFonts w:ascii="Times New Roman" w:hAnsi="Times New Roman"/>
                <w:sz w:val="20"/>
              </w:rPr>
            </w:r>
          </w:p>
        </w:tc>
      </w:tr>
      <w:tr>
        <w:tc>
          <w:tcPr>
            <w:tcW w:type="dxa" w:w="1176"/>
          </w:tcPr>
          <w:p>
            <w:r/>
            <w:r>
              <w:rPr>
                <w:rFonts w:ascii="Times New Roman" w:hAnsi="Times New Roman"/>
                <w:sz w:val="20"/>
              </w:rPr>
              <w:t>5</w:t>
            </w:r>
          </w:p>
        </w:tc>
        <w:tc>
          <w:tcPr>
            <w:tcW w:type="dxa" w:w="1176"/>
          </w:tcPr>
          <w:p>
            <w:r/>
            <w:r>
              <w:rPr>
                <w:rFonts w:ascii="Times New Roman" w:hAnsi="Times New Roman"/>
                <w:sz w:val="20"/>
              </w:rPr>
              <w:t>Module partenaire (catalogue, import CSV, géolocalisation)</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c>
          <w:tcPr>
            <w:tcW w:type="dxa" w:w="1176"/>
          </w:tcPr>
          <w:p>
            <w:r/>
            <w:r>
              <w:rPr>
                <w:rFonts w:ascii="Times New Roman" w:hAnsi="Times New Roman"/>
                <w:sz w:val="20"/>
              </w:rPr>
            </w:r>
          </w:p>
        </w:tc>
      </w:tr>
      <w:tr>
        <w:tc>
          <w:tcPr>
            <w:tcW w:type="dxa" w:w="1176"/>
          </w:tcPr>
          <w:p>
            <w:r/>
            <w:r>
              <w:rPr>
                <w:rFonts w:ascii="Times New Roman" w:hAnsi="Times New Roman"/>
                <w:sz w:val="20"/>
              </w:rPr>
              <w:t>6</w:t>
            </w:r>
          </w:p>
        </w:tc>
        <w:tc>
          <w:tcPr>
            <w:tcW w:type="dxa" w:w="1176"/>
          </w:tcPr>
          <w:p>
            <w:r/>
            <w:r>
              <w:rPr>
                <w:rFonts w:ascii="Times New Roman" w:hAnsi="Times New Roman"/>
                <w:sz w:val="20"/>
              </w:rPr>
              <w:t>Tests, déploiement et préparation soutenance</w:t>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r>
          </w:p>
        </w:tc>
        <w:tc>
          <w:tcPr>
            <w:tcW w:type="dxa" w:w="1176"/>
          </w:tcPr>
          <w:p>
            <w:r/>
            <w:r>
              <w:rPr>
                <w:rFonts w:ascii="Times New Roman" w:hAnsi="Times New Roman"/>
                <w:sz w:val="20"/>
              </w:rPr>
              <w:t>✓</w:t>
            </w:r>
          </w:p>
        </w:tc>
        <w:tc>
          <w:tcPr>
            <w:tcW w:type="dxa" w:w="1176"/>
          </w:tcPr>
          <w:p>
            <w:r/>
            <w:r>
              <w:rPr>
                <w:rFonts w:ascii="Times New Roman" w:hAnsi="Times New Roman"/>
                <w:sz w:val="20"/>
              </w:rPr>
              <w:t>✓</w:t>
            </w:r>
          </w:p>
        </w:tc>
      </w:tr>
    </w:tbl>
    <w:p>
      <w:r>
        <w:br w:type="page"/>
      </w:r>
    </w:p>
    <w:p>
      <w:pPr>
        <w:spacing w:before="240" w:after="120"/>
      </w:pPr>
      <w:r>
        <w:rPr>
          <w:rFonts w:ascii="Times New Roman" w:hAnsi="Times New Roman"/>
          <w:b/>
          <w:color w:val="000000"/>
          <w:sz w:val="30"/>
        </w:rPr>
        <w:t>Deuxième axe : Aspects innovants</w:t>
      </w:r>
    </w:p>
    <w:p>
      <w:pPr>
        <w:spacing w:before="160" w:after="80"/>
      </w:pPr>
      <w:r>
        <w:rPr>
          <w:rFonts w:ascii="Times New Roman" w:hAnsi="Times New Roman"/>
          <w:b/>
          <w:sz w:val="26"/>
        </w:rPr>
        <w:t>1. Nature des innovations</w:t>
      </w:r>
    </w:p>
    <w:p>
      <w:pPr>
        <w:spacing w:after="80"/>
      </w:pPr>
      <w:r>
        <w:rPr>
          <w:rFonts w:ascii="Times New Roman" w:hAnsi="Times New Roman"/>
          <w:b w:val="0"/>
          <w:sz w:val="24"/>
        </w:rPr>
        <w:t>Smart Healthy se distingue par quatre types d'innovation complémentaires :</w:t>
      </w:r>
    </w:p>
    <w:p>
      <w:pPr>
        <w:pStyle w:val="ListBullet"/>
      </w:pPr>
      <w:r>
        <w:rPr>
          <w:rFonts w:ascii="Times New Roman" w:hAnsi="Times New Roman"/>
          <w:b/>
          <w:sz w:val="24"/>
        </w:rPr>
        <w:t xml:space="preserve">Innovation de service : </w:t>
      </w:r>
      <w:r>
        <w:rPr>
          <w:rFonts w:ascii="Times New Roman" w:hAnsi="Times New Roman"/>
          <w:sz w:val="24"/>
        </w:rPr>
        <w:t>Accompagnement nutritionnel personnalisé basé sur l'état de santé. La plateforme adapte produits, recettes et informations aux besoins spécifiques de chaque patient, contrairement aux approches généralistes.</w:t>
      </w:r>
    </w:p>
    <w:p>
      <w:pPr>
        <w:pStyle w:val="ListBullet"/>
      </w:pPr>
      <w:r>
        <w:rPr>
          <w:rFonts w:ascii="Times New Roman" w:hAnsi="Times New Roman"/>
          <w:b/>
          <w:sz w:val="24"/>
        </w:rPr>
        <w:t xml:space="preserve">Innovation d'usage : </w:t>
      </w:r>
      <w:r>
        <w:rPr>
          <w:rFonts w:ascii="Times New Roman" w:hAnsi="Times New Roman"/>
          <w:sz w:val="24"/>
        </w:rPr>
        <w:t>Simplification du choix alimentaire grâce à une expérience numérique structurée qui guide les décisions quotidiennes, centralise l'information et soutient l'autogestion du patient.</w:t>
      </w:r>
    </w:p>
    <w:p>
      <w:pPr>
        <w:pStyle w:val="ListBullet"/>
      </w:pPr>
      <w:r>
        <w:rPr>
          <w:rFonts w:ascii="Times New Roman" w:hAnsi="Times New Roman"/>
          <w:b/>
          <w:sz w:val="24"/>
        </w:rPr>
        <w:t xml:space="preserve">Innovation fonctionnelle : </w:t>
      </w:r>
      <w:r>
        <w:rPr>
          <w:rFonts w:ascii="Times New Roman" w:hAnsi="Times New Roman"/>
          <w:sz w:val="24"/>
        </w:rPr>
        <w:t>Regroupement dans une solution unique de services habituellement dispersés : catalogue produits, recettes, apprentissage nutritionnel, suivi des préférences et compatibilité médicale.</w:t>
      </w:r>
    </w:p>
    <w:p>
      <w:pPr>
        <w:pStyle w:val="ListBullet"/>
      </w:pPr>
      <w:r>
        <w:rPr>
          <w:rFonts w:ascii="Times New Roman" w:hAnsi="Times New Roman"/>
          <w:b/>
          <w:sz w:val="24"/>
        </w:rPr>
        <w:t xml:space="preserve">Innovation contextuelle : </w:t>
      </w:r>
      <w:r>
        <w:rPr>
          <w:rFonts w:ascii="Times New Roman" w:hAnsi="Times New Roman"/>
          <w:sz w:val="24"/>
        </w:rPr>
        <w:t>Adaptation des principes de nutrition numérique personnalisée au contexte algérien, où ce type d'outil reste rare sous une forme ciblée et accessible aux patients chroniques.</w:t>
      </w:r>
    </w:p>
    <w:p>
      <w:pPr>
        <w:spacing w:before="160" w:after="80"/>
      </w:pPr>
      <w:r>
        <w:rPr>
          <w:rFonts w:ascii="Times New Roman" w:hAnsi="Times New Roman"/>
          <w:b/>
          <w:sz w:val="26"/>
        </w:rPr>
        <w:t>2. Domaines d'innovation</w:t>
      </w:r>
    </w:p>
    <w:tbl>
      <w:tblPr>
        <w:tblStyle w:val="TableGrid"/>
        <w:tblW w:type="auto" w:w="0"/>
        <w:jc w:val="center"/>
        <w:tblLook w:firstColumn="1" w:firstRow="1" w:lastColumn="0" w:lastRow="0" w:noHBand="0" w:noVBand="1" w:val="04A0"/>
      </w:tblPr>
      <w:tblGrid>
        <w:gridCol w:w="4703"/>
        <w:gridCol w:w="4703"/>
      </w:tblGrid>
      <w:tr>
        <w:tc>
          <w:tcPr>
            <w:tcW w:type="dxa" w:w="4703"/>
            <w:shd w:fill="D9E2F3"/>
          </w:tcPr>
          <w:p>
            <w:pPr>
              <w:jc w:val="center"/>
            </w:pPr>
            <w:r/>
            <w:r>
              <w:rPr>
                <w:rFonts w:ascii="Times New Roman" w:hAnsi="Times New Roman"/>
                <w:b/>
                <w:sz w:val="20"/>
              </w:rPr>
              <w:t>Domaine</w:t>
            </w:r>
          </w:p>
        </w:tc>
        <w:tc>
          <w:tcPr>
            <w:tcW w:type="dxa" w:w="4703"/>
            <w:shd w:fill="D9E2F3"/>
          </w:tcPr>
          <w:p>
            <w:pPr>
              <w:jc w:val="center"/>
            </w:pPr>
            <w:r/>
            <w:r>
              <w:rPr>
                <w:rFonts w:ascii="Times New Roman" w:hAnsi="Times New Roman"/>
                <w:b/>
                <w:sz w:val="20"/>
              </w:rPr>
              <w:t>Apport de Smart Healthy</w:t>
            </w:r>
          </w:p>
        </w:tc>
      </w:tr>
      <w:tr>
        <w:tc>
          <w:tcPr>
            <w:tcW w:type="dxa" w:w="4703"/>
          </w:tcPr>
          <w:p>
            <w:r/>
            <w:r>
              <w:rPr>
                <w:rFonts w:ascii="Times New Roman" w:hAnsi="Times New Roman"/>
                <w:sz w:val="20"/>
              </w:rPr>
              <w:t>Nouveaux processus</w:t>
            </w:r>
          </w:p>
        </w:tc>
        <w:tc>
          <w:tcPr>
            <w:tcW w:type="dxa" w:w="4703"/>
          </w:tcPr>
          <w:p>
            <w:r/>
            <w:r>
              <w:rPr>
                <w:rFonts w:ascii="Times New Roman" w:hAnsi="Times New Roman"/>
                <w:sz w:val="20"/>
              </w:rPr>
              <w:t>Premier projet en Algérie intégrant un moteur de scoring nutritionnel intelligent basé sur l'indice glycémique, le Nutri-Score et la compatibilité pathologique.</w:t>
            </w:r>
          </w:p>
        </w:tc>
      </w:tr>
      <w:tr>
        <w:tc>
          <w:tcPr>
            <w:tcW w:type="dxa" w:w="4703"/>
          </w:tcPr>
          <w:p>
            <w:r/>
            <w:r>
              <w:rPr>
                <w:rFonts w:ascii="Times New Roman" w:hAnsi="Times New Roman"/>
                <w:sz w:val="20"/>
              </w:rPr>
              <w:t>Nouvelles fonctionnalités</w:t>
            </w:r>
          </w:p>
        </w:tc>
        <w:tc>
          <w:tcPr>
            <w:tcW w:type="dxa" w:w="4703"/>
          </w:tcPr>
          <w:p>
            <w:r/>
            <w:r>
              <w:rPr>
                <w:rFonts w:ascii="Times New Roman" w:hAnsi="Times New Roman"/>
                <w:sz w:val="20"/>
              </w:rPr>
              <w:t>Recommandations personnalisées selon critères multiples (IG, sucres, fibres, sodium, gluten) avec évaluation globale adaptée au profil médical.</w:t>
            </w:r>
          </w:p>
        </w:tc>
      </w:tr>
      <w:tr>
        <w:tc>
          <w:tcPr>
            <w:tcW w:type="dxa" w:w="4703"/>
          </w:tcPr>
          <w:p>
            <w:r/>
            <w:r>
              <w:rPr>
                <w:rFonts w:ascii="Times New Roman" w:hAnsi="Times New Roman"/>
                <w:sz w:val="20"/>
              </w:rPr>
              <w:t>Nouveaux clients</w:t>
            </w:r>
          </w:p>
        </w:tc>
        <w:tc>
          <w:tcPr>
            <w:tcW w:type="dxa" w:w="4703"/>
          </w:tcPr>
          <w:p>
            <w:r/>
            <w:r>
              <w:rPr>
                <w:rFonts w:ascii="Times New Roman" w:hAnsi="Times New Roman"/>
                <w:sz w:val="20"/>
              </w:rPr>
              <w:t>Patients chroniques algériens (diabétiques et cœliaques) ne disposant pas d'outils numériques adaptés à leur contexte local.</w:t>
            </w:r>
          </w:p>
        </w:tc>
      </w:tr>
      <w:tr>
        <w:tc>
          <w:tcPr>
            <w:tcW w:type="dxa" w:w="4703"/>
          </w:tcPr>
          <w:p>
            <w:r/>
            <w:r>
              <w:rPr>
                <w:rFonts w:ascii="Times New Roman" w:hAnsi="Times New Roman"/>
                <w:sz w:val="20"/>
              </w:rPr>
              <w:t>Nouvelles offres</w:t>
            </w:r>
          </w:p>
        </w:tc>
        <w:tc>
          <w:tcPr>
            <w:tcW w:type="dxa" w:w="4703"/>
          </w:tcPr>
          <w:p>
            <w:r/>
            <w:r>
              <w:rPr>
                <w:rFonts w:ascii="Times New Roman" w:hAnsi="Times New Roman"/>
                <w:sz w:val="20"/>
              </w:rPr>
              <w:t>Plateforme combinant catalogue produits algériens validés, recettes personnalisées, contenu éducatif et géolocalisation des points de vente.</w:t>
            </w:r>
          </w:p>
        </w:tc>
      </w:tr>
      <w:tr>
        <w:tc>
          <w:tcPr>
            <w:tcW w:type="dxa" w:w="4703"/>
          </w:tcPr>
          <w:p>
            <w:r/>
            <w:r>
              <w:rPr>
                <w:rFonts w:ascii="Times New Roman" w:hAnsi="Times New Roman"/>
                <w:sz w:val="20"/>
              </w:rPr>
              <w:t>Nouveaux modèles</w:t>
            </w:r>
          </w:p>
        </w:tc>
        <w:tc>
          <w:tcPr>
            <w:tcW w:type="dxa" w:w="4703"/>
          </w:tcPr>
          <w:p>
            <w:r/>
            <w:r>
              <w:rPr>
                <w:rFonts w:ascii="Times New Roman" w:hAnsi="Times New Roman"/>
                <w:sz w:val="20"/>
              </w:rPr>
              <w:t>Modèle d'affaires B2C/B2B hybride : abonnements premium utilisateurs, abonnements partenaires commerces, licences professionnelles nutritionnistes.</w:t>
            </w:r>
          </w:p>
        </w:tc>
      </w:tr>
    </w:tbl>
    <w:p>
      <w:r>
        <w:br w:type="page"/>
      </w:r>
    </w:p>
    <w:p>
      <w:pPr>
        <w:spacing w:before="240" w:after="120"/>
      </w:pPr>
      <w:r>
        <w:rPr>
          <w:rFonts w:ascii="Times New Roman" w:hAnsi="Times New Roman"/>
          <w:b/>
          <w:color w:val="000000"/>
          <w:sz w:val="30"/>
        </w:rPr>
        <w:t>Troisième axe : Analyse stratégique du marché</w:t>
      </w:r>
    </w:p>
    <w:p>
      <w:pPr>
        <w:spacing w:before="160" w:after="80"/>
      </w:pPr>
      <w:r>
        <w:rPr>
          <w:rFonts w:ascii="Times New Roman" w:hAnsi="Times New Roman"/>
          <w:b/>
          <w:sz w:val="26"/>
        </w:rPr>
        <w:t>1. Segment du marché</w:t>
      </w:r>
    </w:p>
    <w:p>
      <w:pPr>
        <w:pStyle w:val="ListBullet"/>
      </w:pPr>
      <w:r>
        <w:rPr>
          <w:rFonts w:ascii="Times New Roman" w:hAnsi="Times New Roman"/>
          <w:b/>
          <w:sz w:val="24"/>
        </w:rPr>
        <w:t xml:space="preserve">Marché potentiel : </w:t>
      </w:r>
      <w:r>
        <w:rPr>
          <w:rFonts w:ascii="Times New Roman" w:hAnsi="Times New Roman"/>
          <w:sz w:val="24"/>
        </w:rPr>
        <w:t>Toute personne souhaitant améliorer son alimentation, suivre ses apports nutritionnels ou gérer une contrainte de santé liée à l'alimentation en Algérie.</w:t>
      </w:r>
    </w:p>
    <w:p>
      <w:pPr>
        <w:pStyle w:val="ListBullet"/>
      </w:pPr>
      <w:r>
        <w:rPr>
          <w:rFonts w:ascii="Times New Roman" w:hAnsi="Times New Roman"/>
          <w:b/>
          <w:sz w:val="24"/>
        </w:rPr>
        <w:t xml:space="preserve">Marché cible : </w:t>
      </w:r>
      <w:r>
        <w:rPr>
          <w:rFonts w:ascii="Times New Roman" w:hAnsi="Times New Roman"/>
          <w:sz w:val="24"/>
        </w:rPr>
        <w:t>Patients diabétiques et cœliaques, leurs proches, les professionnels de santé et les commerces spécialisés. Ce segment compte plusieurs millions de personnes en Algérie dont les besoins spécifiques ne sont pas couverts par les outils numériques existants.</w:t>
      </w:r>
    </w:p>
    <w:p>
      <w:pPr>
        <w:spacing w:before="120"/>
      </w:pPr>
      <w:r>
        <w:rPr>
          <w:rFonts w:ascii="Times New Roman" w:hAnsi="Times New Roman"/>
          <w:b/>
          <w:sz w:val="24"/>
        </w:rPr>
        <w:t>Contrats d'achat possibles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D9E2F3"/>
          </w:tcPr>
          <w:p>
            <w:pPr>
              <w:jc w:val="center"/>
            </w:pPr>
            <w:r/>
            <w:r>
              <w:rPr>
                <w:rFonts w:ascii="Times New Roman" w:hAnsi="Times New Roman"/>
                <w:b/>
                <w:sz w:val="20"/>
              </w:rPr>
              <w:t>Client</w:t>
            </w:r>
          </w:p>
        </w:tc>
        <w:tc>
          <w:tcPr>
            <w:tcW w:type="dxa" w:w="3135"/>
            <w:shd w:fill="D9E2F3"/>
          </w:tcPr>
          <w:p>
            <w:pPr>
              <w:jc w:val="center"/>
            </w:pPr>
            <w:r/>
            <w:r>
              <w:rPr>
                <w:rFonts w:ascii="Times New Roman" w:hAnsi="Times New Roman"/>
                <w:b/>
                <w:sz w:val="20"/>
              </w:rPr>
              <w:t>Probabilité</w:t>
            </w:r>
          </w:p>
        </w:tc>
        <w:tc>
          <w:tcPr>
            <w:tcW w:type="dxa" w:w="3135"/>
            <w:shd w:fill="D9E2F3"/>
          </w:tcPr>
          <w:p>
            <w:pPr>
              <w:jc w:val="center"/>
            </w:pPr>
            <w:r/>
            <w:r>
              <w:rPr>
                <w:rFonts w:ascii="Times New Roman" w:hAnsi="Times New Roman"/>
                <w:b/>
                <w:sz w:val="20"/>
              </w:rPr>
              <w:t>Approche</w:t>
            </w:r>
          </w:p>
        </w:tc>
      </w:tr>
      <w:tr>
        <w:tc>
          <w:tcPr>
            <w:tcW w:type="dxa" w:w="3135"/>
          </w:tcPr>
          <w:p>
            <w:r/>
            <w:r>
              <w:rPr>
                <w:rFonts w:ascii="Times New Roman" w:hAnsi="Times New Roman"/>
                <w:sz w:val="20"/>
              </w:rPr>
              <w:t>Magasins diététiques spécialisés (Bio Santé Store)</w:t>
            </w:r>
          </w:p>
        </w:tc>
        <w:tc>
          <w:tcPr>
            <w:tcW w:type="dxa" w:w="3135"/>
          </w:tcPr>
          <w:p>
            <w:r/>
            <w:r>
              <w:rPr>
                <w:rFonts w:ascii="Times New Roman" w:hAnsi="Times New Roman"/>
                <w:sz w:val="20"/>
              </w:rPr>
              <w:t>Très élevée (85 %)</w:t>
            </w:r>
          </w:p>
        </w:tc>
        <w:tc>
          <w:tcPr>
            <w:tcW w:type="dxa" w:w="3135"/>
          </w:tcPr>
          <w:p>
            <w:r/>
            <w:r>
              <w:rPr>
                <w:rFonts w:ascii="Times New Roman" w:hAnsi="Times New Roman"/>
                <w:sz w:val="20"/>
              </w:rPr>
              <w:t>Essai gratuit 3 mois, abonnement indexé sur performance</w:t>
            </w:r>
          </w:p>
        </w:tc>
      </w:tr>
      <w:tr>
        <w:tc>
          <w:tcPr>
            <w:tcW w:type="dxa" w:w="3135"/>
          </w:tcPr>
          <w:p>
            <w:r/>
            <w:r>
              <w:rPr>
                <w:rFonts w:ascii="Times New Roman" w:hAnsi="Times New Roman"/>
                <w:sz w:val="20"/>
              </w:rPr>
              <w:t>Grande distribution (UNO, Ardis)</w:t>
            </w:r>
          </w:p>
        </w:tc>
        <w:tc>
          <w:tcPr>
            <w:tcW w:type="dxa" w:w="3135"/>
          </w:tcPr>
          <w:p>
            <w:r/>
            <w:r>
              <w:rPr>
                <w:rFonts w:ascii="Times New Roman" w:hAnsi="Times New Roman"/>
                <w:sz w:val="20"/>
              </w:rPr>
              <w:t>Élevée (65-70 %)</w:t>
            </w:r>
          </w:p>
        </w:tc>
        <w:tc>
          <w:tcPr>
            <w:tcW w:type="dxa" w:w="3135"/>
          </w:tcPr>
          <w:p>
            <w:r/>
            <w:r>
              <w:rPr>
                <w:rFonts w:ascii="Times New Roman" w:hAnsi="Times New Roman"/>
                <w:sz w:val="20"/>
              </w:rPr>
              <w:t>Carte interactive, analyse tendances santé, pilote requis</w:t>
            </w:r>
          </w:p>
        </w:tc>
      </w:tr>
      <w:tr>
        <w:tc>
          <w:tcPr>
            <w:tcW w:type="dxa" w:w="3135"/>
          </w:tcPr>
          <w:p>
            <w:r/>
            <w:r>
              <w:rPr>
                <w:rFonts w:ascii="Times New Roman" w:hAnsi="Times New Roman"/>
                <w:sz w:val="20"/>
              </w:rPr>
              <w:t>Pharmacies d'officine</w:t>
            </w:r>
          </w:p>
        </w:tc>
        <w:tc>
          <w:tcPr>
            <w:tcW w:type="dxa" w:w="3135"/>
          </w:tcPr>
          <w:p>
            <w:r/>
            <w:r>
              <w:rPr>
                <w:rFonts w:ascii="Times New Roman" w:hAnsi="Times New Roman"/>
                <w:sz w:val="20"/>
              </w:rPr>
              <w:t>Moyenne à élevée (55 %)</w:t>
            </w:r>
          </w:p>
        </w:tc>
        <w:tc>
          <w:tcPr>
            <w:tcW w:type="dxa" w:w="3135"/>
          </w:tcPr>
          <w:p>
            <w:r/>
            <w:r>
              <w:rPr>
                <w:rFonts w:ascii="Times New Roman" w:hAnsi="Times New Roman"/>
                <w:sz w:val="20"/>
              </w:rPr>
              <w:t>QR codes pour orientation patients chroniques</w:t>
            </w:r>
          </w:p>
        </w:tc>
      </w:tr>
      <w:tr>
        <w:tc>
          <w:tcPr>
            <w:tcW w:type="dxa" w:w="3135"/>
          </w:tcPr>
          <w:p>
            <w:r/>
            <w:r>
              <w:rPr>
                <w:rFonts w:ascii="Times New Roman" w:hAnsi="Times New Roman"/>
                <w:sz w:val="20"/>
              </w:rPr>
              <w:t>Professionnels de santé (cliniques, hôpitaux)</w:t>
            </w:r>
          </w:p>
        </w:tc>
        <w:tc>
          <w:tcPr>
            <w:tcW w:type="dxa" w:w="3135"/>
          </w:tcPr>
          <w:p>
            <w:r/>
            <w:r>
              <w:rPr>
                <w:rFonts w:ascii="Times New Roman" w:hAnsi="Times New Roman"/>
                <w:sz w:val="20"/>
              </w:rPr>
              <w:t>Élevée</w:t>
            </w:r>
          </w:p>
        </w:tc>
        <w:tc>
          <w:tcPr>
            <w:tcW w:type="dxa" w:w="3135"/>
          </w:tcPr>
          <w:p>
            <w:r/>
            <w:r>
              <w:rPr>
                <w:rFonts w:ascii="Times New Roman" w:hAnsi="Times New Roman"/>
                <w:sz w:val="20"/>
              </w:rPr>
              <w:t>Abonnements pros avec suivi patients et fonctionnalités avancées</w:t>
            </w:r>
          </w:p>
        </w:tc>
      </w:tr>
    </w:tbl>
    <w:p>
      <w:pPr>
        <w:spacing w:before="160" w:after="80"/>
      </w:pPr>
      <w:r>
        <w:rPr>
          <w:rFonts w:ascii="Times New Roman" w:hAnsi="Times New Roman"/>
          <w:b/>
          <w:sz w:val="26"/>
        </w:rPr>
        <w:t>2. Intensité de la concurrence</w:t>
      </w:r>
    </w:p>
    <w:p>
      <w:pPr>
        <w:spacing w:after="80"/>
      </w:pPr>
      <w:r>
        <w:rPr>
          <w:rFonts w:ascii="Times New Roman" w:hAnsi="Times New Roman"/>
          <w:b w:val="0"/>
          <w:sz w:val="24"/>
        </w:rPr>
        <w:t>L'analyse concurrentielle révèle une situation paradoxale : la concurrence directe sur le segment « nutrition personnalisée » en Algérie est quasi inexistante. Smart Healthy occupe un espace vacant en combinant recommandations médicalement contextualisées et base de données de produits algériens.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0"/>
              </w:rPr>
              <w:t>Concurrent</w:t>
            </w:r>
          </w:p>
        </w:tc>
        <w:tc>
          <w:tcPr>
            <w:tcW w:type="dxa" w:w="2351"/>
            <w:shd w:fill="D9E2F3"/>
          </w:tcPr>
          <w:p>
            <w:pPr>
              <w:jc w:val="center"/>
            </w:pPr>
            <w:r/>
            <w:r>
              <w:rPr>
                <w:rFonts w:ascii="Times New Roman" w:hAnsi="Times New Roman"/>
                <w:b/>
                <w:sz w:val="20"/>
              </w:rPr>
              <w:t>Type</w:t>
            </w:r>
          </w:p>
        </w:tc>
        <w:tc>
          <w:tcPr>
            <w:tcW w:type="dxa" w:w="2351"/>
            <w:shd w:fill="D9E2F3"/>
          </w:tcPr>
          <w:p>
            <w:pPr>
              <w:jc w:val="center"/>
            </w:pPr>
            <w:r/>
            <w:r>
              <w:rPr>
                <w:rFonts w:ascii="Times New Roman" w:hAnsi="Times New Roman"/>
                <w:b/>
                <w:sz w:val="20"/>
              </w:rPr>
              <w:t>Forces</w:t>
            </w:r>
          </w:p>
        </w:tc>
        <w:tc>
          <w:tcPr>
            <w:tcW w:type="dxa" w:w="2351"/>
            <w:shd w:fill="D9E2F3"/>
          </w:tcPr>
          <w:p>
            <w:pPr>
              <w:jc w:val="center"/>
            </w:pPr>
            <w:r/>
            <w:r>
              <w:rPr>
                <w:rFonts w:ascii="Times New Roman" w:hAnsi="Times New Roman"/>
                <w:b/>
                <w:sz w:val="20"/>
              </w:rPr>
              <w:t>Faiblesses</w:t>
            </w:r>
          </w:p>
        </w:tc>
      </w:tr>
      <w:tr>
        <w:tc>
          <w:tcPr>
            <w:tcW w:type="dxa" w:w="2351"/>
          </w:tcPr>
          <w:p>
            <w:r/>
            <w:r>
              <w:rPr>
                <w:rFonts w:ascii="Times New Roman" w:hAnsi="Times New Roman"/>
                <w:sz w:val="20"/>
              </w:rPr>
              <w:t>Yuka</w:t>
            </w:r>
          </w:p>
        </w:tc>
        <w:tc>
          <w:tcPr>
            <w:tcW w:type="dxa" w:w="2351"/>
          </w:tcPr>
          <w:p>
            <w:r/>
            <w:r>
              <w:rPr>
                <w:rFonts w:ascii="Times New Roman" w:hAnsi="Times New Roman"/>
                <w:sz w:val="20"/>
              </w:rPr>
              <w:t>Scan de produits (international)</w:t>
            </w:r>
          </w:p>
        </w:tc>
        <w:tc>
          <w:tcPr>
            <w:tcW w:type="dxa" w:w="2351"/>
          </w:tcPr>
          <w:p>
            <w:r/>
            <w:r>
              <w:rPr>
                <w:rFonts w:ascii="Times New Roman" w:hAnsi="Times New Roman"/>
                <w:sz w:val="20"/>
              </w:rPr>
              <w:t>Notoriété mondiale, base extensive</w:t>
            </w:r>
          </w:p>
        </w:tc>
        <w:tc>
          <w:tcPr>
            <w:tcW w:type="dxa" w:w="2351"/>
          </w:tcPr>
          <w:p>
            <w:r/>
            <w:r>
              <w:rPr>
                <w:rFonts w:ascii="Times New Roman" w:hAnsi="Times New Roman"/>
                <w:sz w:val="20"/>
              </w:rPr>
              <w:t>Non adapté au marché algérien, pas de personnalisation médicale</w:t>
            </w:r>
          </w:p>
        </w:tc>
      </w:tr>
      <w:tr>
        <w:tc>
          <w:tcPr>
            <w:tcW w:type="dxa" w:w="2351"/>
          </w:tcPr>
          <w:p>
            <w:r/>
            <w:r>
              <w:rPr>
                <w:rFonts w:ascii="Times New Roman" w:hAnsi="Times New Roman"/>
                <w:sz w:val="20"/>
              </w:rPr>
              <w:t>Yassir</w:t>
            </w:r>
          </w:p>
        </w:tc>
        <w:tc>
          <w:tcPr>
            <w:tcW w:type="dxa" w:w="2351"/>
          </w:tcPr>
          <w:p>
            <w:r/>
            <w:r>
              <w:rPr>
                <w:rFonts w:ascii="Times New Roman" w:hAnsi="Times New Roman"/>
                <w:sz w:val="20"/>
              </w:rPr>
              <w:t>Super-app locale</w:t>
            </w:r>
          </w:p>
        </w:tc>
        <w:tc>
          <w:tcPr>
            <w:tcW w:type="dxa" w:w="2351"/>
          </w:tcPr>
          <w:p>
            <w:r/>
            <w:r>
              <w:rPr>
                <w:rFonts w:ascii="Times New Roman" w:hAnsi="Times New Roman"/>
                <w:sz w:val="20"/>
              </w:rPr>
              <w:t>Forte présence en Algérie</w:t>
            </w:r>
          </w:p>
        </w:tc>
        <w:tc>
          <w:tcPr>
            <w:tcW w:type="dxa" w:w="2351"/>
          </w:tcPr>
          <w:p>
            <w:r/>
            <w:r>
              <w:rPr>
                <w:rFonts w:ascii="Times New Roman" w:hAnsi="Times New Roman"/>
                <w:sz w:val="20"/>
              </w:rPr>
              <w:t>Absence de fonctionnalité santé/nutrition</w:t>
            </w:r>
          </w:p>
        </w:tc>
      </w:tr>
      <w:tr>
        <w:tc>
          <w:tcPr>
            <w:tcW w:type="dxa" w:w="2351"/>
          </w:tcPr>
          <w:p>
            <w:r/>
            <w:r>
              <w:rPr>
                <w:rFonts w:ascii="Times New Roman" w:hAnsi="Times New Roman"/>
                <w:sz w:val="20"/>
              </w:rPr>
              <w:t>Open Food Facts</w:t>
            </w:r>
          </w:p>
        </w:tc>
        <w:tc>
          <w:tcPr>
            <w:tcW w:type="dxa" w:w="2351"/>
          </w:tcPr>
          <w:p>
            <w:r/>
            <w:r>
              <w:rPr>
                <w:rFonts w:ascii="Times New Roman" w:hAnsi="Times New Roman"/>
                <w:sz w:val="20"/>
              </w:rPr>
              <w:t>Base ouverte collaborative</w:t>
            </w:r>
          </w:p>
        </w:tc>
        <w:tc>
          <w:tcPr>
            <w:tcW w:type="dxa" w:w="2351"/>
          </w:tcPr>
          <w:p>
            <w:r/>
            <w:r>
              <w:rPr>
                <w:rFonts w:ascii="Times New Roman" w:hAnsi="Times New Roman"/>
                <w:sz w:val="20"/>
              </w:rPr>
              <w:t>Données mondiales ouvertes</w:t>
            </w:r>
          </w:p>
        </w:tc>
        <w:tc>
          <w:tcPr>
            <w:tcW w:type="dxa" w:w="2351"/>
          </w:tcPr>
          <w:p>
            <w:r/>
            <w:r>
              <w:rPr>
                <w:rFonts w:ascii="Times New Roman" w:hAnsi="Times New Roman"/>
                <w:sz w:val="20"/>
              </w:rPr>
              <w:t>Pas de personnalisation, interface technique</w:t>
            </w:r>
          </w:p>
        </w:tc>
      </w:tr>
    </w:tbl>
    <w:p>
      <w:pPr>
        <w:spacing w:after="80"/>
      </w:pPr>
      <w:r>
        <w:rPr>
          <w:rFonts w:ascii="Times New Roman" w:hAnsi="Times New Roman"/>
          <w:b w:val="0"/>
          <w:sz w:val="24"/>
        </w:rPr>
        <w:t>Positionnement : Smart Healthy occupe le quadrant combinant forte personnalisation médicale et large couverture locale — un positionnement unique. Intensité concurrentielle globale : 2,5/5 (faible à modérée). Vigilance recommandée face à une entrée potentielle de Yuka ou une extension santé de Yassir.</w:t>
      </w:r>
    </w:p>
    <w:p>
      <w:pPr>
        <w:spacing w:before="160" w:after="80"/>
      </w:pPr>
      <w:r>
        <w:rPr>
          <w:rFonts w:ascii="Times New Roman" w:hAnsi="Times New Roman"/>
          <w:b/>
          <w:sz w:val="26"/>
        </w:rPr>
        <w:t>3. Stratégie marketing</w:t>
      </w:r>
    </w:p>
    <w:p>
      <w:pPr>
        <w:spacing w:after="80"/>
      </w:pPr>
      <w:r>
        <w:rPr>
          <w:rFonts w:ascii="Times New Roman" w:hAnsi="Times New Roman"/>
          <w:b w:val="0"/>
          <w:sz w:val="24"/>
        </w:rPr>
        <w:t>La stratégie marketing privilégie un marketing de traction à faible coût, adapté aux ressources d'une startup en incubation : actions organiques, ciblées et mesurables.</w:t>
      </w:r>
    </w:p>
    <w:p>
      <w:pPr>
        <w:spacing w:before="120"/>
      </w:pPr>
      <w:r>
        <w:rPr>
          <w:rFonts w:ascii="Times New Roman" w:hAnsi="Times New Roman"/>
          <w:b/>
          <w:sz w:val="24"/>
        </w:rPr>
        <w:t>Marketing mix</w:t>
      </w:r>
    </w:p>
    <w:tbl>
      <w:tblPr>
        <w:tblStyle w:val="TableGrid"/>
        <w:tblW w:type="auto" w:w="0"/>
        <w:jc w:val="center"/>
        <w:tblLook w:firstColumn="1" w:firstRow="1" w:lastColumn="0" w:lastRow="0" w:noHBand="0" w:noVBand="1" w:val="04A0"/>
      </w:tblPr>
      <w:tblGrid>
        <w:gridCol w:w="4703"/>
        <w:gridCol w:w="4703"/>
      </w:tblGrid>
      <w:tr>
        <w:tc>
          <w:tcPr>
            <w:tcW w:type="dxa" w:w="4703"/>
            <w:shd w:fill="D9E2F3"/>
          </w:tcPr>
          <w:p>
            <w:pPr>
              <w:jc w:val="center"/>
            </w:pPr>
            <w:r/>
            <w:r>
              <w:rPr>
                <w:rFonts w:ascii="Times New Roman" w:hAnsi="Times New Roman"/>
                <w:b/>
                <w:sz w:val="20"/>
              </w:rPr>
              <w:t>Pilier</w:t>
            </w:r>
          </w:p>
        </w:tc>
        <w:tc>
          <w:tcPr>
            <w:tcW w:type="dxa" w:w="4703"/>
            <w:shd w:fill="D9E2F3"/>
          </w:tcPr>
          <w:p>
            <w:pPr>
              <w:jc w:val="center"/>
            </w:pPr>
            <w:r/>
            <w:r>
              <w:rPr>
                <w:rFonts w:ascii="Times New Roman" w:hAnsi="Times New Roman"/>
                <w:b/>
                <w:sz w:val="20"/>
              </w:rPr>
              <w:t>Description</w:t>
            </w:r>
          </w:p>
        </w:tc>
      </w:tr>
      <w:tr>
        <w:tc>
          <w:tcPr>
            <w:tcW w:type="dxa" w:w="4703"/>
          </w:tcPr>
          <w:p>
            <w:r/>
            <w:r>
              <w:rPr>
                <w:rFonts w:ascii="Times New Roman" w:hAnsi="Times New Roman"/>
                <w:sz w:val="20"/>
              </w:rPr>
              <w:t>Produit</w:t>
            </w:r>
          </w:p>
        </w:tc>
        <w:tc>
          <w:tcPr>
            <w:tcW w:type="dxa" w:w="4703"/>
          </w:tcPr>
          <w:p>
            <w:r/>
            <w:r>
              <w:rPr>
                <w:rFonts w:ascii="Times New Roman" w:hAnsi="Times New Roman"/>
                <w:sz w:val="20"/>
              </w:rPr>
              <w:t>Plateforme web avec moteur de scoring nutritionnel, catalogue de 1 012 produits, recettes personnalisées, contenu éducatif, géolocalisation</w:t>
            </w:r>
          </w:p>
        </w:tc>
      </w:tr>
      <w:tr>
        <w:tc>
          <w:tcPr>
            <w:tcW w:type="dxa" w:w="4703"/>
          </w:tcPr>
          <w:p>
            <w:r/>
            <w:r>
              <w:rPr>
                <w:rFonts w:ascii="Times New Roman" w:hAnsi="Times New Roman"/>
                <w:sz w:val="20"/>
              </w:rPr>
              <w:t>Prix</w:t>
            </w:r>
          </w:p>
        </w:tc>
        <w:tc>
          <w:tcPr>
            <w:tcW w:type="dxa" w:w="4703"/>
          </w:tcPr>
          <w:p>
            <w:r/>
            <w:r>
              <w:rPr>
                <w:rFonts w:ascii="Times New Roman" w:hAnsi="Times New Roman"/>
                <w:sz w:val="20"/>
              </w:rPr>
              <w:t>Abonnement premium utilisateur : 5 000 DZD/an — Abonnement partenaire : 36 000 DZD/an — Licence nutritionniste : 24 000 DZD/an</w:t>
            </w:r>
          </w:p>
        </w:tc>
      </w:tr>
      <w:tr>
        <w:tc>
          <w:tcPr>
            <w:tcW w:type="dxa" w:w="4703"/>
          </w:tcPr>
          <w:p>
            <w:r/>
            <w:r>
              <w:rPr>
                <w:rFonts w:ascii="Times New Roman" w:hAnsi="Times New Roman"/>
                <w:sz w:val="20"/>
              </w:rPr>
              <w:t>Place</w:t>
            </w:r>
          </w:p>
        </w:tc>
        <w:tc>
          <w:tcPr>
            <w:tcW w:type="dxa" w:w="4703"/>
          </w:tcPr>
          <w:p>
            <w:r/>
            <w:r>
              <w:rPr>
                <w:rFonts w:ascii="Times New Roman" w:hAnsi="Times New Roman"/>
                <w:sz w:val="20"/>
              </w:rPr>
              <w:t>Distribution via le web (responsive mobile-first) avec carte interactive des points de vente</w:t>
            </w:r>
          </w:p>
        </w:tc>
      </w:tr>
      <w:tr>
        <w:tc>
          <w:tcPr>
            <w:tcW w:type="dxa" w:w="4703"/>
          </w:tcPr>
          <w:p>
            <w:r/>
            <w:r>
              <w:rPr>
                <w:rFonts w:ascii="Times New Roman" w:hAnsi="Times New Roman"/>
                <w:sz w:val="20"/>
              </w:rPr>
              <w:t>Promotion</w:t>
            </w:r>
          </w:p>
        </w:tc>
        <w:tc>
          <w:tcPr>
            <w:tcW w:type="dxa" w:w="4703"/>
          </w:tcPr>
          <w:p>
            <w:r/>
            <w:r>
              <w:rPr>
                <w:rFonts w:ascii="Times New Roman" w:hAnsi="Times New Roman"/>
                <w:sz w:val="20"/>
              </w:rPr>
              <w:t>Marketing de contenu (réseaux sociaux, blogs santé), bouche-à-oreille via associations de patients, QR codes en pharmacie, démonstrations universitaires</w:t>
            </w:r>
          </w:p>
        </w:tc>
      </w:tr>
    </w:tbl>
    <w:p>
      <w:pPr>
        <w:spacing w:after="80"/>
      </w:pPr>
      <w:r>
        <w:rPr>
          <w:rFonts w:ascii="Times New Roman" w:hAnsi="Times New Roman"/>
          <w:b w:val="0"/>
          <w:sz w:val="24"/>
        </w:rPr>
        <w:t>Modèle vertueux : L'augmentation du nombre d'utilisateurs B2C attire davantage de commerçants partenaires, qui enrichissent la base de produits et renforcent l'utilité de la solution pour les utilisateurs finaux.</w:t>
      </w:r>
    </w:p>
    <w:p>
      <w:r>
        <w:br w:type="page"/>
      </w:r>
    </w:p>
    <w:p>
      <w:pPr>
        <w:spacing w:before="240" w:after="120"/>
      </w:pPr>
      <w:r>
        <w:rPr>
          <w:rFonts w:ascii="Times New Roman" w:hAnsi="Times New Roman"/>
          <w:b/>
          <w:color w:val="000000"/>
          <w:sz w:val="30"/>
        </w:rPr>
        <w:t>Quatrième axe : Plan de production et d'organisation</w:t>
      </w:r>
    </w:p>
    <w:p>
      <w:pPr>
        <w:spacing w:before="160" w:after="80"/>
      </w:pPr>
      <w:r>
        <w:rPr>
          <w:rFonts w:ascii="Times New Roman" w:hAnsi="Times New Roman"/>
          <w:b/>
          <w:sz w:val="26"/>
        </w:rPr>
        <w:t>1. Processus de production</w:t>
      </w:r>
    </w:p>
    <w:p>
      <w:pPr>
        <w:spacing w:after="80"/>
      </w:pPr>
      <w:r>
        <w:rPr>
          <w:rFonts w:ascii="Times New Roman" w:hAnsi="Times New Roman"/>
          <w:b w:val="0"/>
          <w:sz w:val="24"/>
        </w:rPr>
        <w:t>Smart Healthy, en tant que plateforme numérique, suit un processus de production en 6 étapes :</w:t>
      </w:r>
    </w:p>
    <w:p>
      <w:pPr>
        <w:pStyle w:val="ListBullet"/>
      </w:pPr>
      <w:r>
        <w:rPr>
          <w:rFonts w:ascii="Times New Roman" w:hAnsi="Times New Roman"/>
          <w:b/>
          <w:sz w:val="24"/>
        </w:rPr>
        <w:t xml:space="preserve">Étape 1 — Collecte et structuration des données : </w:t>
      </w:r>
      <w:r>
        <w:rPr>
          <w:rFonts w:ascii="Times New Roman" w:hAnsi="Times New Roman"/>
          <w:sz w:val="24"/>
        </w:rPr>
        <w:t>Les commerçants partenaires saisissent ou importent (CSV) les produits alimentaires algériens. Les informations nutritionnelles sont vérifiées et validées.</w:t>
      </w:r>
    </w:p>
    <w:p>
      <w:pPr>
        <w:pStyle w:val="ListBullet"/>
      </w:pPr>
      <w:r>
        <w:rPr>
          <w:rFonts w:ascii="Times New Roman" w:hAnsi="Times New Roman"/>
          <w:b/>
          <w:sz w:val="24"/>
        </w:rPr>
        <w:t xml:space="preserve">Étape 2 — Traitement et classification : </w:t>
      </w:r>
      <w:r>
        <w:rPr>
          <w:rFonts w:ascii="Times New Roman" w:hAnsi="Times New Roman"/>
          <w:sz w:val="24"/>
        </w:rPr>
        <w:t>Chaque produit est analysé et classé selon sa compatibilité avec les pathologies cibles (diabète type 2, maladie cœliaque) en collaboration avec le nutritionniste partenaire.</w:t>
      </w:r>
    </w:p>
    <w:p>
      <w:pPr>
        <w:pStyle w:val="ListBullet"/>
      </w:pPr>
      <w:r>
        <w:rPr>
          <w:rFonts w:ascii="Times New Roman" w:hAnsi="Times New Roman"/>
          <w:b/>
          <w:sz w:val="24"/>
        </w:rPr>
        <w:t xml:space="preserve">Étape 3 — Personnalisation du profil : </w:t>
      </w:r>
      <w:r>
        <w:rPr>
          <w:rFonts w:ascii="Times New Roman" w:hAnsi="Times New Roman"/>
          <w:sz w:val="24"/>
        </w:rPr>
        <w:t>L'utilisateur renseigne son profil de santé (pathologie, données biométriques, restrictions). Le système génère des recommandations personnalisées en temps réel.</w:t>
      </w:r>
    </w:p>
    <w:p>
      <w:pPr>
        <w:pStyle w:val="ListBullet"/>
      </w:pPr>
      <w:r>
        <w:rPr>
          <w:rFonts w:ascii="Times New Roman" w:hAnsi="Times New Roman"/>
          <w:b/>
          <w:sz w:val="24"/>
        </w:rPr>
        <w:t xml:space="preserve">Étape 4 — Fourniture du service : </w:t>
      </w:r>
      <w:r>
        <w:rPr>
          <w:rFonts w:ascii="Times New Roman" w:hAnsi="Times New Roman"/>
          <w:sz w:val="24"/>
        </w:rPr>
        <w:t>L'utilisateur accède à la plateforme pour consulter les produits compatibles, les recettes adaptées et les contenus éducatifs.</w:t>
      </w:r>
    </w:p>
    <w:p>
      <w:pPr>
        <w:pStyle w:val="ListBullet"/>
      </w:pPr>
      <w:r>
        <w:rPr>
          <w:rFonts w:ascii="Times New Roman" w:hAnsi="Times New Roman"/>
          <w:b/>
          <w:sz w:val="24"/>
        </w:rPr>
        <w:t xml:space="preserve">Étape 5 — Suivi et amélioration : </w:t>
      </w:r>
      <w:r>
        <w:rPr>
          <w:rFonts w:ascii="Times New Roman" w:hAnsi="Times New Roman"/>
          <w:sz w:val="24"/>
        </w:rPr>
        <w:t>Les données d'utilisation sont analysées pour améliorer les recommandations et enrichir la base de données.</w:t>
      </w:r>
    </w:p>
    <w:p>
      <w:pPr>
        <w:pStyle w:val="ListBullet"/>
      </w:pPr>
      <w:r>
        <w:rPr>
          <w:rFonts w:ascii="Times New Roman" w:hAnsi="Times New Roman"/>
          <w:b/>
          <w:sz w:val="24"/>
        </w:rPr>
        <w:t xml:space="preserve">Étape 6 — Accompagnement et fidélisation : </w:t>
      </w:r>
      <w:r>
        <w:rPr>
          <w:rFonts w:ascii="Times New Roman" w:hAnsi="Times New Roman"/>
          <w:sz w:val="24"/>
        </w:rPr>
        <w:t>Chat intégré pour les questions utilisateurs et partenaires, notifications push et newsletters pour maintenir l'engagement.</w:t>
      </w:r>
    </w:p>
    <w:p>
      <w:pPr>
        <w:spacing w:before="160" w:after="80"/>
      </w:pPr>
      <w:r>
        <w:rPr>
          <w:rFonts w:ascii="Times New Roman" w:hAnsi="Times New Roman"/>
          <w:b/>
          <w:sz w:val="26"/>
        </w:rPr>
        <w:t>2. Approvisionnement</w:t>
      </w:r>
    </w:p>
    <w:p>
      <w:pPr>
        <w:spacing w:after="80"/>
      </w:pPr>
      <w:r>
        <w:rPr>
          <w:rFonts w:ascii="Times New Roman" w:hAnsi="Times New Roman"/>
          <w:b w:val="0"/>
          <w:sz w:val="24"/>
        </w:rPr>
        <w:t>Smart Healthy repose sur l'acquisition de ressources techniques et de services numériques plutôt que sur des matières premières physiques : hébergement cloud (Supabase, Vercel), outils SaaS, API de géolocalisation et services d'email transactionnel.</w:t>
      </w:r>
    </w:p>
    <w:p>
      <w:pPr>
        <w:spacing w:after="80"/>
      </w:pPr>
      <w:r>
        <w:rPr>
          <w:rFonts w:ascii="Times New Roman" w:hAnsi="Times New Roman"/>
          <w:b w:val="0"/>
          <w:sz w:val="24"/>
        </w:rPr>
        <w:t>Avantage clé : Structure de coûts variables qui s'ajuste à l'activité. Pas de stocks, pas de transport, pas de matières premières physiques. Les principales dépenses portent sur l'hébergement, la maintenance technique et la validation des données nutritionnelles.</w:t>
      </w:r>
    </w:p>
    <w:p>
      <w:pPr>
        <w:spacing w:before="160" w:after="80"/>
      </w:pPr>
      <w:r>
        <w:rPr>
          <w:rFonts w:ascii="Times New Roman" w:hAnsi="Times New Roman"/>
          <w:b/>
          <w:sz w:val="26"/>
        </w:rPr>
        <w:t>3. Main-d'œuvre</w:t>
      </w:r>
    </w:p>
    <w:p>
      <w:pPr>
        <w:spacing w:after="80"/>
      </w:pPr>
      <w:r>
        <w:rPr>
          <w:rFonts w:ascii="Times New Roman" w:hAnsi="Times New Roman"/>
          <w:b w:val="0"/>
          <w:sz w:val="24"/>
        </w:rPr>
        <w:t>L'équipe est restreinte, polyvalente et spécialisée dans le numérique et la santé :</w:t>
      </w:r>
    </w:p>
    <w:p>
      <w:pPr>
        <w:pStyle w:val="ListBullet"/>
      </w:pPr>
      <w:r>
        <w:rPr>
          <w:rFonts w:ascii="Times New Roman" w:hAnsi="Times New Roman"/>
          <w:sz w:val="24"/>
        </w:rPr>
        <w:t>Postes prévus au lancement : développeur web/mobile, responsable marketing digital, nutritionniste partenaire, agent commercial B2B (temps partiel).</w:t>
      </w:r>
    </w:p>
    <w:p>
      <w:pPr>
        <w:pStyle w:val="ListBullet"/>
      </w:pPr>
      <w:r>
        <w:rPr>
          <w:rFonts w:ascii="Times New Roman" w:hAnsi="Times New Roman"/>
          <w:sz w:val="24"/>
        </w:rPr>
        <w:t>Emplois indirects : commerçants partenaires, associations de patients, prestataires de communication, experts santé intervenant ponctuellement.</w:t>
      </w:r>
    </w:p>
    <w:p>
      <w:pPr>
        <w:pStyle w:val="ListBullet"/>
      </w:pPr>
      <w:r>
        <w:rPr>
          <w:rFonts w:ascii="Times New Roman" w:hAnsi="Times New Roman"/>
          <w:sz w:val="24"/>
        </w:rPr>
        <w:t>Aucune manutention requise — le fonctionnement est entièrement numérique.</w:t>
      </w:r>
    </w:p>
    <w:p>
      <w:pPr>
        <w:spacing w:before="160" w:after="80"/>
      </w:pPr>
      <w:r>
        <w:rPr>
          <w:rFonts w:ascii="Times New Roman" w:hAnsi="Times New Roman"/>
          <w:b/>
          <w:sz w:val="26"/>
        </w:rPr>
        <w:t>4. Principaux partenaires</w:t>
      </w:r>
    </w:p>
    <w:p>
      <w:pPr>
        <w:pStyle w:val="ListBullet"/>
      </w:pPr>
      <w:r>
        <w:rPr>
          <w:rFonts w:ascii="Times New Roman" w:hAnsi="Times New Roman"/>
          <w:sz w:val="24"/>
        </w:rPr>
        <w:t>Commerçants partenaires — Fournissent les données produits et mettent à jour le catalogue.</w:t>
      </w:r>
    </w:p>
    <w:p>
      <w:pPr>
        <w:pStyle w:val="ListBullet"/>
      </w:pPr>
      <w:r>
        <w:rPr>
          <w:rFonts w:ascii="Times New Roman" w:hAnsi="Times New Roman"/>
          <w:sz w:val="24"/>
        </w:rPr>
        <w:t>Fournisseurs techniques cloud (Supabase, Vercel) — Hébergement, stockage, sécurité et stabilité du service.</w:t>
      </w:r>
    </w:p>
    <w:p>
      <w:pPr>
        <w:pStyle w:val="ListBullet"/>
      </w:pPr>
      <w:r>
        <w:rPr>
          <w:rFonts w:ascii="Times New Roman" w:hAnsi="Times New Roman"/>
          <w:sz w:val="24"/>
        </w:rPr>
        <w:t>Nutritionniste partenaire — Validation scientifique des recommandations alimentaires.</w:t>
      </w:r>
    </w:p>
    <w:p>
      <w:pPr>
        <w:pStyle w:val="ListBullet"/>
      </w:pPr>
      <w:r>
        <w:rPr>
          <w:rFonts w:ascii="Times New Roman" w:hAnsi="Times New Roman"/>
          <w:sz w:val="24"/>
        </w:rPr>
        <w:t>Associations de patients — Sensibilisation et diffusion de la plateforme auprès du public cible.</w:t>
      </w:r>
    </w:p>
    <w:p>
      <w:pPr>
        <w:pStyle w:val="ListBullet"/>
      </w:pPr>
      <w:r>
        <w:rPr>
          <w:rFonts w:ascii="Times New Roman" w:hAnsi="Times New Roman"/>
          <w:sz w:val="24"/>
        </w:rPr>
        <w:t>Pharmacies et magasins spécialisés — Relais stratégiques via QR codes et recommandations.</w:t>
      </w:r>
    </w:p>
    <w:p>
      <w:pPr>
        <w:pStyle w:val="ListBullet"/>
      </w:pPr>
      <w:r>
        <w:rPr>
          <w:rFonts w:ascii="Times New Roman" w:hAnsi="Times New Roman"/>
          <w:sz w:val="24"/>
        </w:rPr>
        <w:t>Incubateurs universitaires — Accompagnement organisationnel, stratégique et technique.</w:t>
      </w:r>
    </w:p>
    <w:p>
      <w:pPr>
        <w:pStyle w:val="ListBullet"/>
      </w:pPr>
      <w:r>
        <w:rPr>
          <w:rFonts w:ascii="Times New Roman" w:hAnsi="Times New Roman"/>
          <w:sz w:val="24"/>
        </w:rPr>
        <w:t>Structures de financement — Aides, subventions et dispositifs pour jeunes entreprises innovantes.</w:t>
      </w:r>
    </w:p>
    <w:p>
      <w:r>
        <w:br w:type="page"/>
      </w:r>
    </w:p>
    <w:p>
      <w:pPr>
        <w:spacing w:before="240" w:after="120"/>
      </w:pPr>
      <w:r>
        <w:rPr>
          <w:rFonts w:ascii="Times New Roman" w:hAnsi="Times New Roman"/>
          <w:b/>
          <w:color w:val="000000"/>
          <w:sz w:val="30"/>
        </w:rPr>
        <w:t>Cinquième axe : Plan financier</w:t>
      </w:r>
    </w:p>
    <w:p>
      <w:pPr>
        <w:spacing w:before="160" w:after="80"/>
      </w:pPr>
      <w:r>
        <w:rPr>
          <w:rFonts w:ascii="Times New Roman" w:hAnsi="Times New Roman"/>
          <w:b/>
          <w:sz w:val="26"/>
        </w:rPr>
        <w:t>1. Coûts et charges</w:t>
      </w:r>
    </w:p>
    <w:p>
      <w:pPr>
        <w:spacing w:before="120"/>
      </w:pPr>
      <w:r>
        <w:rPr>
          <w:rFonts w:ascii="Times New Roman" w:hAnsi="Times New Roman"/>
          <w:b/>
          <w:sz w:val="24"/>
        </w:rPr>
        <w:t>Investissement initial</w:t>
      </w:r>
    </w:p>
    <w:tbl>
      <w:tblPr>
        <w:tblStyle w:val="TableGrid"/>
        <w:tblW w:type="auto" w:w="0"/>
        <w:jc w:val="center"/>
        <w:tblLook w:firstColumn="1" w:firstRow="1" w:lastColumn="0" w:lastRow="0" w:noHBand="0" w:noVBand="1" w:val="04A0"/>
      </w:tblPr>
      <w:tblGrid>
        <w:gridCol w:w="4703"/>
        <w:gridCol w:w="4703"/>
      </w:tblGrid>
      <w:tr>
        <w:tc>
          <w:tcPr>
            <w:tcW w:type="dxa" w:w="4703"/>
            <w:shd w:fill="D9E2F3"/>
          </w:tcPr>
          <w:p>
            <w:pPr>
              <w:jc w:val="center"/>
            </w:pPr>
            <w:r/>
            <w:r>
              <w:rPr>
                <w:rFonts w:ascii="Times New Roman" w:hAnsi="Times New Roman"/>
                <w:b/>
                <w:sz w:val="20"/>
              </w:rPr>
              <w:t>Poste</w:t>
            </w:r>
          </w:p>
        </w:tc>
        <w:tc>
          <w:tcPr>
            <w:tcW w:type="dxa" w:w="4703"/>
            <w:shd w:fill="D9E2F3"/>
          </w:tcPr>
          <w:p>
            <w:pPr>
              <w:jc w:val="center"/>
            </w:pPr>
            <w:r/>
            <w:r>
              <w:rPr>
                <w:rFonts w:ascii="Times New Roman" w:hAnsi="Times New Roman"/>
                <w:b/>
                <w:sz w:val="20"/>
              </w:rPr>
              <w:t>Montant (DZD)</w:t>
            </w:r>
          </w:p>
        </w:tc>
      </w:tr>
      <w:tr>
        <w:tc>
          <w:tcPr>
            <w:tcW w:type="dxa" w:w="4703"/>
          </w:tcPr>
          <w:p>
            <w:r/>
            <w:r>
              <w:rPr>
                <w:rFonts w:ascii="Times New Roman" w:hAnsi="Times New Roman"/>
                <w:sz w:val="20"/>
              </w:rPr>
              <w:t>Développement technologique (UI/UX, backend, frontend)</w:t>
            </w:r>
          </w:p>
        </w:tc>
        <w:tc>
          <w:tcPr>
            <w:tcW w:type="dxa" w:w="4703"/>
          </w:tcPr>
          <w:p>
            <w:r/>
            <w:r>
              <w:rPr>
                <w:rFonts w:ascii="Times New Roman" w:hAnsi="Times New Roman"/>
                <w:sz w:val="20"/>
              </w:rPr>
              <w:t>2 000 000</w:t>
            </w:r>
          </w:p>
        </w:tc>
      </w:tr>
      <w:tr>
        <w:tc>
          <w:tcPr>
            <w:tcW w:type="dxa" w:w="4703"/>
          </w:tcPr>
          <w:p>
            <w:r/>
            <w:r>
              <w:rPr>
                <w:rFonts w:ascii="Times New Roman" w:hAnsi="Times New Roman"/>
                <w:sz w:val="20"/>
              </w:rPr>
              <w:t>Équipement informatique et licences logicielles</w:t>
            </w:r>
          </w:p>
        </w:tc>
        <w:tc>
          <w:tcPr>
            <w:tcW w:type="dxa" w:w="4703"/>
          </w:tcPr>
          <w:p>
            <w:r/>
            <w:r>
              <w:rPr>
                <w:rFonts w:ascii="Times New Roman" w:hAnsi="Times New Roman"/>
                <w:sz w:val="20"/>
              </w:rPr>
              <w:t>800 000</w:t>
            </w:r>
          </w:p>
        </w:tc>
      </w:tr>
      <w:tr>
        <w:tc>
          <w:tcPr>
            <w:tcW w:type="dxa" w:w="4703"/>
          </w:tcPr>
          <w:p>
            <w:r/>
            <w:r>
              <w:rPr>
                <w:rFonts w:ascii="Times New Roman" w:hAnsi="Times New Roman"/>
                <w:sz w:val="20"/>
              </w:rPr>
              <w:t>Campagne de lancement et marketing initial</w:t>
            </w:r>
          </w:p>
        </w:tc>
        <w:tc>
          <w:tcPr>
            <w:tcW w:type="dxa" w:w="4703"/>
          </w:tcPr>
          <w:p>
            <w:r/>
            <w:r>
              <w:rPr>
                <w:rFonts w:ascii="Times New Roman" w:hAnsi="Times New Roman"/>
                <w:sz w:val="20"/>
              </w:rPr>
              <w:t>700 000</w:t>
            </w:r>
          </w:p>
        </w:tc>
      </w:tr>
      <w:tr>
        <w:tc>
          <w:tcPr>
            <w:tcW w:type="dxa" w:w="4703"/>
          </w:tcPr>
          <w:p>
            <w:r/>
            <w:r>
              <w:rPr>
                <w:rFonts w:ascii="Times New Roman" w:hAnsi="Times New Roman"/>
                <w:sz w:val="20"/>
              </w:rPr>
              <w:t>Frais juridiques et de constitution</w:t>
            </w:r>
          </w:p>
        </w:tc>
        <w:tc>
          <w:tcPr>
            <w:tcW w:type="dxa" w:w="4703"/>
          </w:tcPr>
          <w:p>
            <w:r/>
            <w:r>
              <w:rPr>
                <w:rFonts w:ascii="Times New Roman" w:hAnsi="Times New Roman"/>
                <w:sz w:val="20"/>
              </w:rPr>
              <w:t>300 000</w:t>
            </w:r>
          </w:p>
        </w:tc>
      </w:tr>
      <w:tr>
        <w:tc>
          <w:tcPr>
            <w:tcW w:type="dxa" w:w="4703"/>
          </w:tcPr>
          <w:p>
            <w:r/>
            <w:r>
              <w:rPr>
                <w:rFonts w:ascii="Times New Roman" w:hAnsi="Times New Roman"/>
                <w:sz w:val="20"/>
              </w:rPr>
              <w:t>Réserve de trésorerie de départ</w:t>
            </w:r>
          </w:p>
        </w:tc>
        <w:tc>
          <w:tcPr>
            <w:tcW w:type="dxa" w:w="4703"/>
          </w:tcPr>
          <w:p>
            <w:r/>
            <w:r>
              <w:rPr>
                <w:rFonts w:ascii="Times New Roman" w:hAnsi="Times New Roman"/>
                <w:sz w:val="20"/>
              </w:rPr>
              <w:t>1 000 000</w:t>
            </w:r>
          </w:p>
        </w:tc>
      </w:tr>
      <w:tr>
        <w:tc>
          <w:tcPr>
            <w:tcW w:type="dxa" w:w="4703"/>
          </w:tcPr>
          <w:p>
            <w:r/>
            <w:r>
              <w:rPr>
                <w:rFonts w:ascii="Times New Roman" w:hAnsi="Times New Roman"/>
                <w:sz w:val="20"/>
              </w:rPr>
              <w:t>Total investissement initial</w:t>
            </w:r>
          </w:p>
        </w:tc>
        <w:tc>
          <w:tcPr>
            <w:tcW w:type="dxa" w:w="4703"/>
          </w:tcPr>
          <w:p>
            <w:r/>
            <w:r>
              <w:rPr>
                <w:rFonts w:ascii="Times New Roman" w:hAnsi="Times New Roman"/>
                <w:sz w:val="20"/>
              </w:rPr>
              <w:t>4 800 000</w:t>
            </w:r>
          </w:p>
        </w:tc>
      </w:tr>
    </w:tbl>
    <w:p/>
    <w:p>
      <w:pPr>
        <w:spacing w:before="120"/>
      </w:pPr>
      <w:r>
        <w:rPr>
          <w:rFonts w:ascii="Times New Roman" w:hAnsi="Times New Roman"/>
          <w:b/>
          <w:sz w:val="24"/>
        </w:rPr>
        <w:t>Sources de financement</w:t>
      </w:r>
    </w:p>
    <w:tbl>
      <w:tblPr>
        <w:tblStyle w:val="TableGrid"/>
        <w:tblW w:type="auto" w:w="0"/>
        <w:jc w:val="center"/>
        <w:tblLook w:firstColumn="1" w:firstRow="1" w:lastColumn="0" w:lastRow="0" w:noHBand="0" w:noVBand="1" w:val="04A0"/>
      </w:tblPr>
      <w:tblGrid>
        <w:gridCol w:w="4703"/>
        <w:gridCol w:w="4703"/>
      </w:tblGrid>
      <w:tr>
        <w:tc>
          <w:tcPr>
            <w:tcW w:type="dxa" w:w="4703"/>
            <w:shd w:fill="D9E2F3"/>
          </w:tcPr>
          <w:p>
            <w:pPr>
              <w:jc w:val="center"/>
            </w:pPr>
            <w:r/>
            <w:r>
              <w:rPr>
                <w:rFonts w:ascii="Times New Roman" w:hAnsi="Times New Roman"/>
                <w:b/>
                <w:sz w:val="20"/>
              </w:rPr>
              <w:t>Source</w:t>
            </w:r>
          </w:p>
        </w:tc>
        <w:tc>
          <w:tcPr>
            <w:tcW w:type="dxa" w:w="4703"/>
            <w:shd w:fill="D9E2F3"/>
          </w:tcPr>
          <w:p>
            <w:pPr>
              <w:jc w:val="center"/>
            </w:pPr>
            <w:r/>
            <w:r>
              <w:rPr>
                <w:rFonts w:ascii="Times New Roman" w:hAnsi="Times New Roman"/>
                <w:b/>
                <w:sz w:val="20"/>
              </w:rPr>
              <w:t>Montant (DZD)</w:t>
            </w:r>
          </w:p>
        </w:tc>
      </w:tr>
      <w:tr>
        <w:tc>
          <w:tcPr>
            <w:tcW w:type="dxa" w:w="4703"/>
          </w:tcPr>
          <w:p>
            <w:r/>
            <w:r>
              <w:rPr>
                <w:rFonts w:ascii="Times New Roman" w:hAnsi="Times New Roman"/>
                <w:sz w:val="20"/>
              </w:rPr>
              <w:t>Fonds propres des fondateurs</w:t>
            </w:r>
          </w:p>
        </w:tc>
        <w:tc>
          <w:tcPr>
            <w:tcW w:type="dxa" w:w="4703"/>
          </w:tcPr>
          <w:p>
            <w:r/>
            <w:r>
              <w:rPr>
                <w:rFonts w:ascii="Times New Roman" w:hAnsi="Times New Roman"/>
                <w:sz w:val="20"/>
              </w:rPr>
              <w:t>800 000</w:t>
            </w:r>
          </w:p>
        </w:tc>
      </w:tr>
      <w:tr>
        <w:tc>
          <w:tcPr>
            <w:tcW w:type="dxa" w:w="4703"/>
          </w:tcPr>
          <w:p>
            <w:r/>
            <w:r>
              <w:rPr>
                <w:rFonts w:ascii="Times New Roman" w:hAnsi="Times New Roman"/>
                <w:sz w:val="20"/>
              </w:rPr>
              <w:t>Subvention ou aide au démarrage</w:t>
            </w:r>
          </w:p>
        </w:tc>
        <w:tc>
          <w:tcPr>
            <w:tcW w:type="dxa" w:w="4703"/>
          </w:tcPr>
          <w:p>
            <w:r/>
            <w:r>
              <w:rPr>
                <w:rFonts w:ascii="Times New Roman" w:hAnsi="Times New Roman"/>
                <w:sz w:val="20"/>
              </w:rPr>
              <w:t>2 000 000</w:t>
            </w:r>
          </w:p>
        </w:tc>
      </w:tr>
      <w:tr>
        <w:tc>
          <w:tcPr>
            <w:tcW w:type="dxa" w:w="4703"/>
          </w:tcPr>
          <w:p>
            <w:r/>
            <w:r>
              <w:rPr>
                <w:rFonts w:ascii="Times New Roman" w:hAnsi="Times New Roman"/>
                <w:sz w:val="20"/>
              </w:rPr>
              <w:t>Crédit bancaire bonifié (0 %, différé 2 ans, remb. sur 5 ans)</w:t>
            </w:r>
          </w:p>
        </w:tc>
        <w:tc>
          <w:tcPr>
            <w:tcW w:type="dxa" w:w="4703"/>
          </w:tcPr>
          <w:p>
            <w:r/>
            <w:r>
              <w:rPr>
                <w:rFonts w:ascii="Times New Roman" w:hAnsi="Times New Roman"/>
                <w:sz w:val="20"/>
              </w:rPr>
              <w:t>2 000 000</w:t>
            </w:r>
          </w:p>
        </w:tc>
      </w:tr>
      <w:tr>
        <w:tc>
          <w:tcPr>
            <w:tcW w:type="dxa" w:w="4703"/>
          </w:tcPr>
          <w:p>
            <w:r/>
            <w:r>
              <w:rPr>
                <w:rFonts w:ascii="Times New Roman" w:hAnsi="Times New Roman"/>
                <w:sz w:val="20"/>
              </w:rPr>
              <w:t>Love money / soutien familial</w:t>
            </w:r>
          </w:p>
        </w:tc>
        <w:tc>
          <w:tcPr>
            <w:tcW w:type="dxa" w:w="4703"/>
          </w:tcPr>
          <w:p>
            <w:r/>
            <w:r>
              <w:rPr>
                <w:rFonts w:ascii="Times New Roman" w:hAnsi="Times New Roman"/>
                <w:sz w:val="20"/>
              </w:rPr>
              <w:t>500 000</w:t>
            </w:r>
          </w:p>
        </w:tc>
      </w:tr>
      <w:tr>
        <w:tc>
          <w:tcPr>
            <w:tcW w:type="dxa" w:w="4703"/>
          </w:tcPr>
          <w:p>
            <w:r/>
            <w:r>
              <w:rPr>
                <w:rFonts w:ascii="Times New Roman" w:hAnsi="Times New Roman"/>
                <w:sz w:val="20"/>
              </w:rPr>
              <w:t>Total financement mobilisé</w:t>
            </w:r>
          </w:p>
        </w:tc>
        <w:tc>
          <w:tcPr>
            <w:tcW w:type="dxa" w:w="4703"/>
          </w:tcPr>
          <w:p>
            <w:r/>
            <w:r>
              <w:rPr>
                <w:rFonts w:ascii="Times New Roman" w:hAnsi="Times New Roman"/>
                <w:sz w:val="20"/>
              </w:rPr>
              <w:t>5 300 000</w:t>
            </w:r>
          </w:p>
        </w:tc>
      </w:tr>
    </w:tbl>
    <w:p>
      <w:pPr>
        <w:spacing w:after="80"/>
      </w:pPr>
      <w:r>
        <w:rPr>
          <w:rFonts w:ascii="Times New Roman" w:hAnsi="Times New Roman"/>
          <w:b w:val="0"/>
          <w:sz w:val="24"/>
        </w:rPr>
        <w:t>Remboursement : Crédit bancaire de 2 000 000 DZD à 0 % avec différé de 2 ans. Le remboursement débute en N+3.</w:t>
      </w:r>
    </w:p>
    <w:p>
      <w:pPr>
        <w:spacing w:before="160" w:after="80"/>
      </w:pPr>
      <w:r>
        <w:rPr>
          <w:rFonts w:ascii="Times New Roman" w:hAnsi="Times New Roman"/>
          <w:b/>
          <w:sz w:val="26"/>
        </w:rPr>
        <w:t>2. Chiffre d'affaires</w:t>
      </w:r>
    </w:p>
    <w:p>
      <w:pPr>
        <w:spacing w:after="80"/>
      </w:pPr>
      <w:r>
        <w:rPr>
          <w:rFonts w:ascii="Times New Roman" w:hAnsi="Times New Roman"/>
          <w:b w:val="0"/>
          <w:sz w:val="24"/>
        </w:rPr>
        <w:t>Les trois sources de revenus de Smart Healthy sont :</w:t>
      </w:r>
    </w:p>
    <w:p>
      <w:pPr>
        <w:pStyle w:val="ListBullet"/>
      </w:pPr>
      <w:r>
        <w:rPr>
          <w:rFonts w:ascii="Times New Roman" w:hAnsi="Times New Roman"/>
          <w:b/>
          <w:sz w:val="24"/>
        </w:rPr>
        <w:t xml:space="preserve">Produit A : </w:t>
      </w:r>
      <w:r>
        <w:rPr>
          <w:rFonts w:ascii="Times New Roman" w:hAnsi="Times New Roman"/>
          <w:sz w:val="24"/>
        </w:rPr>
        <w:t>Abonnement utilisateur premium — 5 000 DZD/an</w:t>
      </w:r>
    </w:p>
    <w:p>
      <w:pPr>
        <w:pStyle w:val="ListBullet"/>
      </w:pPr>
      <w:r>
        <w:rPr>
          <w:rFonts w:ascii="Times New Roman" w:hAnsi="Times New Roman"/>
          <w:b/>
          <w:sz w:val="24"/>
        </w:rPr>
        <w:t xml:space="preserve">Produit B : </w:t>
      </w:r>
      <w:r>
        <w:rPr>
          <w:rFonts w:ascii="Times New Roman" w:hAnsi="Times New Roman"/>
          <w:sz w:val="24"/>
        </w:rPr>
        <w:t>Abonnement partenaire (commerces) — 36 000 DZD/an</w:t>
      </w:r>
    </w:p>
    <w:p>
      <w:pPr>
        <w:pStyle w:val="ListBullet"/>
      </w:pPr>
      <w:r>
        <w:rPr>
          <w:rFonts w:ascii="Times New Roman" w:hAnsi="Times New Roman"/>
          <w:b/>
          <w:sz w:val="24"/>
        </w:rPr>
        <w:t xml:space="preserve">Produit C : </w:t>
      </w:r>
      <w:r>
        <w:rPr>
          <w:rFonts w:ascii="Times New Roman" w:hAnsi="Times New Roman"/>
          <w:sz w:val="24"/>
        </w:rPr>
        <w:t>Licence professionnelle nutritionniste — 24 000 DZD/an</w:t>
      </w:r>
    </w:p>
    <w:p>
      <w:pPr>
        <w:spacing w:before="120"/>
      </w:pPr>
      <w:r>
        <w:rPr>
          <w:rFonts w:ascii="Times New Roman" w:hAnsi="Times New Roman"/>
          <w:b/>
          <w:sz w:val="24"/>
        </w:rPr>
        <w:t>Scénario optimiste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pPr>
              <w:jc w:val="center"/>
            </w:pPr>
            <w:r/>
            <w:r>
              <w:rPr>
                <w:rFonts w:ascii="Times New Roman" w:hAnsi="Times New Roman"/>
                <w:b/>
                <w:sz w:val="20"/>
              </w:rPr>
              <w:t>En DZD</w:t>
            </w:r>
          </w:p>
        </w:tc>
        <w:tc>
          <w:tcPr>
            <w:tcW w:type="dxa" w:w="1344"/>
            <w:shd w:fill="D9E2F3"/>
          </w:tcPr>
          <w:p>
            <w:pPr>
              <w:jc w:val="center"/>
            </w:pPr>
            <w:r/>
            <w:r>
              <w:rPr>
                <w:rFonts w:ascii="Times New Roman" w:hAnsi="Times New Roman"/>
                <w:b/>
                <w:sz w:val="20"/>
              </w:rPr>
              <w:t>N</w:t>
            </w:r>
          </w:p>
        </w:tc>
        <w:tc>
          <w:tcPr>
            <w:tcW w:type="dxa" w:w="1344"/>
            <w:shd w:fill="D9E2F3"/>
          </w:tcPr>
          <w:p>
            <w:pPr>
              <w:jc w:val="center"/>
            </w:pPr>
            <w:r/>
            <w:r>
              <w:rPr>
                <w:rFonts w:ascii="Times New Roman" w:hAnsi="Times New Roman"/>
                <w:b/>
                <w:sz w:val="20"/>
              </w:rPr>
              <w:t>N+1</w:t>
            </w:r>
          </w:p>
        </w:tc>
        <w:tc>
          <w:tcPr>
            <w:tcW w:type="dxa" w:w="1344"/>
            <w:shd w:fill="D9E2F3"/>
          </w:tcPr>
          <w:p>
            <w:pPr>
              <w:jc w:val="center"/>
            </w:pPr>
            <w:r/>
            <w:r>
              <w:rPr>
                <w:rFonts w:ascii="Times New Roman" w:hAnsi="Times New Roman"/>
                <w:b/>
                <w:sz w:val="20"/>
              </w:rPr>
              <w:t>N+2</w:t>
            </w:r>
          </w:p>
        </w:tc>
        <w:tc>
          <w:tcPr>
            <w:tcW w:type="dxa" w:w="1344"/>
            <w:shd w:fill="D9E2F3"/>
          </w:tcPr>
          <w:p>
            <w:pPr>
              <w:jc w:val="center"/>
            </w:pPr>
            <w:r/>
            <w:r>
              <w:rPr>
                <w:rFonts w:ascii="Times New Roman" w:hAnsi="Times New Roman"/>
                <w:b/>
                <w:sz w:val="20"/>
              </w:rPr>
              <w:t>N+3</w:t>
            </w:r>
          </w:p>
        </w:tc>
        <w:tc>
          <w:tcPr>
            <w:tcW w:type="dxa" w:w="1344"/>
            <w:shd w:fill="D9E2F3"/>
          </w:tcPr>
          <w:p>
            <w:pPr>
              <w:jc w:val="center"/>
            </w:pPr>
            <w:r/>
            <w:r>
              <w:rPr>
                <w:rFonts w:ascii="Times New Roman" w:hAnsi="Times New Roman"/>
                <w:b/>
                <w:sz w:val="20"/>
              </w:rPr>
              <w:t>N+4</w:t>
            </w:r>
          </w:p>
        </w:tc>
        <w:tc>
          <w:tcPr>
            <w:tcW w:type="dxa" w:w="1344"/>
            <w:shd w:fill="D9E2F3"/>
          </w:tcPr>
          <w:p>
            <w:pPr>
              <w:jc w:val="center"/>
            </w:pPr>
            <w:r/>
            <w:r>
              <w:rPr>
                <w:rFonts w:ascii="Times New Roman" w:hAnsi="Times New Roman"/>
                <w:b/>
                <w:sz w:val="20"/>
              </w:rPr>
              <w:t>N+5</w:t>
            </w:r>
          </w:p>
        </w:tc>
      </w:tr>
      <w:tr>
        <w:tc>
          <w:tcPr>
            <w:tcW w:type="dxa" w:w="1344"/>
          </w:tcPr>
          <w:p>
            <w:r/>
            <w:r>
              <w:rPr>
                <w:rFonts w:ascii="Times New Roman" w:hAnsi="Times New Roman"/>
                <w:sz w:val="20"/>
              </w:rPr>
              <w:t>Ventes A</w:t>
            </w:r>
          </w:p>
        </w:tc>
        <w:tc>
          <w:tcPr>
            <w:tcW w:type="dxa" w:w="1344"/>
          </w:tcPr>
          <w:p>
            <w:r/>
            <w:r>
              <w:rPr>
                <w:rFonts w:ascii="Times New Roman" w:hAnsi="Times New Roman"/>
                <w:sz w:val="20"/>
              </w:rPr>
              <w:t>1 000 000</w:t>
            </w:r>
          </w:p>
        </w:tc>
        <w:tc>
          <w:tcPr>
            <w:tcW w:type="dxa" w:w="1344"/>
          </w:tcPr>
          <w:p>
            <w:r/>
            <w:r>
              <w:rPr>
                <w:rFonts w:ascii="Times New Roman" w:hAnsi="Times New Roman"/>
                <w:sz w:val="20"/>
              </w:rPr>
              <w:t>2 500 000</w:t>
            </w:r>
          </w:p>
        </w:tc>
        <w:tc>
          <w:tcPr>
            <w:tcW w:type="dxa" w:w="1344"/>
          </w:tcPr>
          <w:p>
            <w:r/>
            <w:r>
              <w:rPr>
                <w:rFonts w:ascii="Times New Roman" w:hAnsi="Times New Roman"/>
                <w:sz w:val="20"/>
              </w:rPr>
              <w:t>6 000 000</w:t>
            </w:r>
          </w:p>
        </w:tc>
        <w:tc>
          <w:tcPr>
            <w:tcW w:type="dxa" w:w="1344"/>
          </w:tcPr>
          <w:p>
            <w:r/>
            <w:r>
              <w:rPr>
                <w:rFonts w:ascii="Times New Roman" w:hAnsi="Times New Roman"/>
                <w:sz w:val="20"/>
              </w:rPr>
              <w:t>12 000 000</w:t>
            </w:r>
          </w:p>
        </w:tc>
        <w:tc>
          <w:tcPr>
            <w:tcW w:type="dxa" w:w="1344"/>
          </w:tcPr>
          <w:p>
            <w:r/>
            <w:r>
              <w:rPr>
                <w:rFonts w:ascii="Times New Roman" w:hAnsi="Times New Roman"/>
                <w:sz w:val="20"/>
              </w:rPr>
              <w:t>20 000 000</w:t>
            </w:r>
          </w:p>
        </w:tc>
        <w:tc>
          <w:tcPr>
            <w:tcW w:type="dxa" w:w="1344"/>
          </w:tcPr>
          <w:p>
            <w:r/>
            <w:r>
              <w:rPr>
                <w:rFonts w:ascii="Times New Roman" w:hAnsi="Times New Roman"/>
                <w:sz w:val="20"/>
              </w:rPr>
              <w:t>27 500 000</w:t>
            </w:r>
          </w:p>
        </w:tc>
      </w:tr>
      <w:tr>
        <w:tc>
          <w:tcPr>
            <w:tcW w:type="dxa" w:w="1344"/>
          </w:tcPr>
          <w:p>
            <w:r/>
            <w:r>
              <w:rPr>
                <w:rFonts w:ascii="Times New Roman" w:hAnsi="Times New Roman"/>
                <w:sz w:val="20"/>
              </w:rPr>
              <w:t>Ventes B</w:t>
            </w:r>
          </w:p>
        </w:tc>
        <w:tc>
          <w:tcPr>
            <w:tcW w:type="dxa" w:w="1344"/>
          </w:tcPr>
          <w:p>
            <w:r/>
            <w:r>
              <w:rPr>
                <w:rFonts w:ascii="Times New Roman" w:hAnsi="Times New Roman"/>
                <w:sz w:val="20"/>
              </w:rPr>
              <w:t>360 000</w:t>
            </w:r>
          </w:p>
        </w:tc>
        <w:tc>
          <w:tcPr>
            <w:tcW w:type="dxa" w:w="1344"/>
          </w:tcPr>
          <w:p>
            <w:r/>
            <w:r>
              <w:rPr>
                <w:rFonts w:ascii="Times New Roman" w:hAnsi="Times New Roman"/>
                <w:sz w:val="20"/>
              </w:rPr>
              <w:t>1 080 000</w:t>
            </w:r>
          </w:p>
        </w:tc>
        <w:tc>
          <w:tcPr>
            <w:tcW w:type="dxa" w:w="1344"/>
          </w:tcPr>
          <w:p>
            <w:r/>
            <w:r>
              <w:rPr>
                <w:rFonts w:ascii="Times New Roman" w:hAnsi="Times New Roman"/>
                <w:sz w:val="20"/>
              </w:rPr>
              <w:t>2 160 000</w:t>
            </w:r>
          </w:p>
        </w:tc>
        <w:tc>
          <w:tcPr>
            <w:tcW w:type="dxa" w:w="1344"/>
          </w:tcPr>
          <w:p>
            <w:r/>
            <w:r>
              <w:rPr>
                <w:rFonts w:ascii="Times New Roman" w:hAnsi="Times New Roman"/>
                <w:sz w:val="20"/>
              </w:rPr>
              <w:t>3 600 000</w:t>
            </w:r>
          </w:p>
        </w:tc>
        <w:tc>
          <w:tcPr>
            <w:tcW w:type="dxa" w:w="1344"/>
          </w:tcPr>
          <w:p>
            <w:r/>
            <w:r>
              <w:rPr>
                <w:rFonts w:ascii="Times New Roman" w:hAnsi="Times New Roman"/>
                <w:sz w:val="20"/>
              </w:rPr>
              <w:t>5 400 000</w:t>
            </w:r>
          </w:p>
        </w:tc>
        <w:tc>
          <w:tcPr>
            <w:tcW w:type="dxa" w:w="1344"/>
          </w:tcPr>
          <w:p>
            <w:r/>
            <w:r>
              <w:rPr>
                <w:rFonts w:ascii="Times New Roman" w:hAnsi="Times New Roman"/>
                <w:sz w:val="20"/>
              </w:rPr>
              <w:t>7 200 000</w:t>
            </w:r>
          </w:p>
        </w:tc>
      </w:tr>
      <w:tr>
        <w:tc>
          <w:tcPr>
            <w:tcW w:type="dxa" w:w="1344"/>
          </w:tcPr>
          <w:p>
            <w:r/>
            <w:r>
              <w:rPr>
                <w:rFonts w:ascii="Times New Roman" w:hAnsi="Times New Roman"/>
                <w:sz w:val="20"/>
              </w:rPr>
              <w:t>Ventes C</w:t>
            </w:r>
          </w:p>
        </w:tc>
        <w:tc>
          <w:tcPr>
            <w:tcW w:type="dxa" w:w="1344"/>
          </w:tcPr>
          <w:p>
            <w:r/>
            <w:r>
              <w:rPr>
                <w:rFonts w:ascii="Times New Roman" w:hAnsi="Times New Roman"/>
                <w:sz w:val="20"/>
              </w:rPr>
              <w:t>120 000</w:t>
            </w:r>
          </w:p>
        </w:tc>
        <w:tc>
          <w:tcPr>
            <w:tcW w:type="dxa" w:w="1344"/>
          </w:tcPr>
          <w:p>
            <w:r/>
            <w:r>
              <w:rPr>
                <w:rFonts w:ascii="Times New Roman" w:hAnsi="Times New Roman"/>
                <w:sz w:val="20"/>
              </w:rPr>
              <w:t>360 000</w:t>
            </w:r>
          </w:p>
        </w:tc>
        <w:tc>
          <w:tcPr>
            <w:tcW w:type="dxa" w:w="1344"/>
          </w:tcPr>
          <w:p>
            <w:r/>
            <w:r>
              <w:rPr>
                <w:rFonts w:ascii="Times New Roman" w:hAnsi="Times New Roman"/>
                <w:sz w:val="20"/>
              </w:rPr>
              <w:t>720 000</w:t>
            </w:r>
          </w:p>
        </w:tc>
        <w:tc>
          <w:tcPr>
            <w:tcW w:type="dxa" w:w="1344"/>
          </w:tcPr>
          <w:p>
            <w:r/>
            <w:r>
              <w:rPr>
                <w:rFonts w:ascii="Times New Roman" w:hAnsi="Times New Roman"/>
                <w:sz w:val="20"/>
              </w:rPr>
              <w:t>1 200 000</w:t>
            </w:r>
          </w:p>
        </w:tc>
        <w:tc>
          <w:tcPr>
            <w:tcW w:type="dxa" w:w="1344"/>
          </w:tcPr>
          <w:p>
            <w:r/>
            <w:r>
              <w:rPr>
                <w:rFonts w:ascii="Times New Roman" w:hAnsi="Times New Roman"/>
                <w:sz w:val="20"/>
              </w:rPr>
              <w:t>1 800 000</w:t>
            </w:r>
          </w:p>
        </w:tc>
        <w:tc>
          <w:tcPr>
            <w:tcW w:type="dxa" w:w="1344"/>
          </w:tcPr>
          <w:p>
            <w:r/>
            <w:r>
              <w:rPr>
                <w:rFonts w:ascii="Times New Roman" w:hAnsi="Times New Roman"/>
                <w:sz w:val="20"/>
              </w:rPr>
              <w:t>2 400 000</w:t>
            </w:r>
          </w:p>
        </w:tc>
      </w:tr>
      <w:tr>
        <w:tc>
          <w:tcPr>
            <w:tcW w:type="dxa" w:w="1344"/>
          </w:tcPr>
          <w:p>
            <w:r/>
            <w:r>
              <w:rPr>
                <w:rFonts w:ascii="Times New Roman" w:hAnsi="Times New Roman"/>
                <w:sz w:val="20"/>
              </w:rPr>
              <w:t>CA global</w:t>
            </w:r>
          </w:p>
        </w:tc>
        <w:tc>
          <w:tcPr>
            <w:tcW w:type="dxa" w:w="1344"/>
          </w:tcPr>
          <w:p>
            <w:r/>
            <w:r>
              <w:rPr>
                <w:rFonts w:ascii="Times New Roman" w:hAnsi="Times New Roman"/>
                <w:sz w:val="20"/>
              </w:rPr>
              <w:t>1 480 000</w:t>
            </w:r>
          </w:p>
        </w:tc>
        <w:tc>
          <w:tcPr>
            <w:tcW w:type="dxa" w:w="1344"/>
          </w:tcPr>
          <w:p>
            <w:r/>
            <w:r>
              <w:rPr>
                <w:rFonts w:ascii="Times New Roman" w:hAnsi="Times New Roman"/>
                <w:sz w:val="20"/>
              </w:rPr>
              <w:t>3 940 000</w:t>
            </w:r>
          </w:p>
        </w:tc>
        <w:tc>
          <w:tcPr>
            <w:tcW w:type="dxa" w:w="1344"/>
          </w:tcPr>
          <w:p>
            <w:r/>
            <w:r>
              <w:rPr>
                <w:rFonts w:ascii="Times New Roman" w:hAnsi="Times New Roman"/>
                <w:sz w:val="20"/>
              </w:rPr>
              <w:t>8 880 000</w:t>
            </w:r>
          </w:p>
        </w:tc>
        <w:tc>
          <w:tcPr>
            <w:tcW w:type="dxa" w:w="1344"/>
          </w:tcPr>
          <w:p>
            <w:r/>
            <w:r>
              <w:rPr>
                <w:rFonts w:ascii="Times New Roman" w:hAnsi="Times New Roman"/>
                <w:sz w:val="20"/>
              </w:rPr>
              <w:t>16 800 000</w:t>
            </w:r>
          </w:p>
        </w:tc>
        <w:tc>
          <w:tcPr>
            <w:tcW w:type="dxa" w:w="1344"/>
          </w:tcPr>
          <w:p>
            <w:r/>
            <w:r>
              <w:rPr>
                <w:rFonts w:ascii="Times New Roman" w:hAnsi="Times New Roman"/>
                <w:sz w:val="20"/>
              </w:rPr>
              <w:t>27 200 000</w:t>
            </w:r>
          </w:p>
        </w:tc>
        <w:tc>
          <w:tcPr>
            <w:tcW w:type="dxa" w:w="1344"/>
          </w:tcPr>
          <w:p>
            <w:r/>
            <w:r>
              <w:rPr>
                <w:rFonts w:ascii="Times New Roman" w:hAnsi="Times New Roman"/>
                <w:sz w:val="20"/>
              </w:rPr>
              <w:t>37 100 000</w:t>
            </w:r>
          </w:p>
        </w:tc>
      </w:tr>
    </w:tbl>
    <w:p/>
    <w:p>
      <w:pPr>
        <w:spacing w:before="120"/>
      </w:pPr>
      <w:r>
        <w:rPr>
          <w:rFonts w:ascii="Times New Roman" w:hAnsi="Times New Roman"/>
          <w:b/>
          <w:sz w:val="24"/>
        </w:rPr>
        <w:t>Scénario pessimiste</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D9E2F3"/>
          </w:tcPr>
          <w:p>
            <w:pPr>
              <w:jc w:val="center"/>
            </w:pPr>
            <w:r/>
            <w:r>
              <w:rPr>
                <w:rFonts w:ascii="Times New Roman" w:hAnsi="Times New Roman"/>
                <w:b/>
                <w:sz w:val="20"/>
              </w:rPr>
              <w:t>En DZD</w:t>
            </w:r>
          </w:p>
        </w:tc>
        <w:tc>
          <w:tcPr>
            <w:tcW w:type="dxa" w:w="1344"/>
            <w:shd w:fill="D9E2F3"/>
          </w:tcPr>
          <w:p>
            <w:pPr>
              <w:jc w:val="center"/>
            </w:pPr>
            <w:r/>
            <w:r>
              <w:rPr>
                <w:rFonts w:ascii="Times New Roman" w:hAnsi="Times New Roman"/>
                <w:b/>
                <w:sz w:val="20"/>
              </w:rPr>
              <w:t>N</w:t>
            </w:r>
          </w:p>
        </w:tc>
        <w:tc>
          <w:tcPr>
            <w:tcW w:type="dxa" w:w="1344"/>
            <w:shd w:fill="D9E2F3"/>
          </w:tcPr>
          <w:p>
            <w:pPr>
              <w:jc w:val="center"/>
            </w:pPr>
            <w:r/>
            <w:r>
              <w:rPr>
                <w:rFonts w:ascii="Times New Roman" w:hAnsi="Times New Roman"/>
                <w:b/>
                <w:sz w:val="20"/>
              </w:rPr>
              <w:t>N+1</w:t>
            </w:r>
          </w:p>
        </w:tc>
        <w:tc>
          <w:tcPr>
            <w:tcW w:type="dxa" w:w="1344"/>
            <w:shd w:fill="D9E2F3"/>
          </w:tcPr>
          <w:p>
            <w:pPr>
              <w:jc w:val="center"/>
            </w:pPr>
            <w:r/>
            <w:r>
              <w:rPr>
                <w:rFonts w:ascii="Times New Roman" w:hAnsi="Times New Roman"/>
                <w:b/>
                <w:sz w:val="20"/>
              </w:rPr>
              <w:t>N+2</w:t>
            </w:r>
          </w:p>
        </w:tc>
        <w:tc>
          <w:tcPr>
            <w:tcW w:type="dxa" w:w="1344"/>
            <w:shd w:fill="D9E2F3"/>
          </w:tcPr>
          <w:p>
            <w:pPr>
              <w:jc w:val="center"/>
            </w:pPr>
            <w:r/>
            <w:r>
              <w:rPr>
                <w:rFonts w:ascii="Times New Roman" w:hAnsi="Times New Roman"/>
                <w:b/>
                <w:sz w:val="20"/>
              </w:rPr>
              <w:t>N+3</w:t>
            </w:r>
          </w:p>
        </w:tc>
        <w:tc>
          <w:tcPr>
            <w:tcW w:type="dxa" w:w="1344"/>
            <w:shd w:fill="D9E2F3"/>
          </w:tcPr>
          <w:p>
            <w:pPr>
              <w:jc w:val="center"/>
            </w:pPr>
            <w:r/>
            <w:r>
              <w:rPr>
                <w:rFonts w:ascii="Times New Roman" w:hAnsi="Times New Roman"/>
                <w:b/>
                <w:sz w:val="20"/>
              </w:rPr>
              <w:t>N+4</w:t>
            </w:r>
          </w:p>
        </w:tc>
        <w:tc>
          <w:tcPr>
            <w:tcW w:type="dxa" w:w="1344"/>
            <w:shd w:fill="D9E2F3"/>
          </w:tcPr>
          <w:p>
            <w:pPr>
              <w:jc w:val="center"/>
            </w:pPr>
            <w:r/>
            <w:r>
              <w:rPr>
                <w:rFonts w:ascii="Times New Roman" w:hAnsi="Times New Roman"/>
                <w:b/>
                <w:sz w:val="20"/>
              </w:rPr>
              <w:t>N+5</w:t>
            </w:r>
          </w:p>
        </w:tc>
      </w:tr>
      <w:tr>
        <w:tc>
          <w:tcPr>
            <w:tcW w:type="dxa" w:w="1344"/>
          </w:tcPr>
          <w:p>
            <w:r/>
            <w:r>
              <w:rPr>
                <w:rFonts w:ascii="Times New Roman" w:hAnsi="Times New Roman"/>
                <w:sz w:val="20"/>
              </w:rPr>
              <w:t>Ventes A</w:t>
            </w:r>
          </w:p>
        </w:tc>
        <w:tc>
          <w:tcPr>
            <w:tcW w:type="dxa" w:w="1344"/>
          </w:tcPr>
          <w:p>
            <w:r/>
            <w:r>
              <w:rPr>
                <w:rFonts w:ascii="Times New Roman" w:hAnsi="Times New Roman"/>
                <w:sz w:val="20"/>
              </w:rPr>
              <w:t>500 000</w:t>
            </w:r>
          </w:p>
        </w:tc>
        <w:tc>
          <w:tcPr>
            <w:tcW w:type="dxa" w:w="1344"/>
          </w:tcPr>
          <w:p>
            <w:r/>
            <w:r>
              <w:rPr>
                <w:rFonts w:ascii="Times New Roman" w:hAnsi="Times New Roman"/>
                <w:sz w:val="20"/>
              </w:rPr>
              <w:t>1 500 000</w:t>
            </w:r>
          </w:p>
        </w:tc>
        <w:tc>
          <w:tcPr>
            <w:tcW w:type="dxa" w:w="1344"/>
          </w:tcPr>
          <w:p>
            <w:r/>
            <w:r>
              <w:rPr>
                <w:rFonts w:ascii="Times New Roman" w:hAnsi="Times New Roman"/>
                <w:sz w:val="20"/>
              </w:rPr>
              <w:t>3 500 000</w:t>
            </w:r>
          </w:p>
        </w:tc>
        <w:tc>
          <w:tcPr>
            <w:tcW w:type="dxa" w:w="1344"/>
          </w:tcPr>
          <w:p>
            <w:r/>
            <w:r>
              <w:rPr>
                <w:rFonts w:ascii="Times New Roman" w:hAnsi="Times New Roman"/>
                <w:sz w:val="20"/>
              </w:rPr>
              <w:t>7 500 000</w:t>
            </w:r>
          </w:p>
        </w:tc>
        <w:tc>
          <w:tcPr>
            <w:tcW w:type="dxa" w:w="1344"/>
          </w:tcPr>
          <w:p>
            <w:r/>
            <w:r>
              <w:rPr>
                <w:rFonts w:ascii="Times New Roman" w:hAnsi="Times New Roman"/>
                <w:sz w:val="20"/>
              </w:rPr>
              <w:t>13 000 000</w:t>
            </w:r>
          </w:p>
        </w:tc>
        <w:tc>
          <w:tcPr>
            <w:tcW w:type="dxa" w:w="1344"/>
          </w:tcPr>
          <w:p>
            <w:r/>
            <w:r>
              <w:rPr>
                <w:rFonts w:ascii="Times New Roman" w:hAnsi="Times New Roman"/>
                <w:sz w:val="20"/>
              </w:rPr>
              <w:t>18 000 000</w:t>
            </w:r>
          </w:p>
        </w:tc>
      </w:tr>
      <w:tr>
        <w:tc>
          <w:tcPr>
            <w:tcW w:type="dxa" w:w="1344"/>
          </w:tcPr>
          <w:p>
            <w:r/>
            <w:r>
              <w:rPr>
                <w:rFonts w:ascii="Times New Roman" w:hAnsi="Times New Roman"/>
                <w:sz w:val="20"/>
              </w:rPr>
              <w:t>Ventes B</w:t>
            </w:r>
          </w:p>
        </w:tc>
        <w:tc>
          <w:tcPr>
            <w:tcW w:type="dxa" w:w="1344"/>
          </w:tcPr>
          <w:p>
            <w:r/>
            <w:r>
              <w:rPr>
                <w:rFonts w:ascii="Times New Roman" w:hAnsi="Times New Roman"/>
                <w:sz w:val="20"/>
              </w:rPr>
              <w:t>180 000</w:t>
            </w:r>
          </w:p>
        </w:tc>
        <w:tc>
          <w:tcPr>
            <w:tcW w:type="dxa" w:w="1344"/>
          </w:tcPr>
          <w:p>
            <w:r/>
            <w:r>
              <w:rPr>
                <w:rFonts w:ascii="Times New Roman" w:hAnsi="Times New Roman"/>
                <w:sz w:val="20"/>
              </w:rPr>
              <w:t>540 000</w:t>
            </w:r>
          </w:p>
        </w:tc>
        <w:tc>
          <w:tcPr>
            <w:tcW w:type="dxa" w:w="1344"/>
          </w:tcPr>
          <w:p>
            <w:r/>
            <w:r>
              <w:rPr>
                <w:rFonts w:ascii="Times New Roman" w:hAnsi="Times New Roman"/>
                <w:sz w:val="20"/>
              </w:rPr>
              <w:t>1 260 000</w:t>
            </w:r>
          </w:p>
        </w:tc>
        <w:tc>
          <w:tcPr>
            <w:tcW w:type="dxa" w:w="1344"/>
          </w:tcPr>
          <w:p>
            <w:r/>
            <w:r>
              <w:rPr>
                <w:rFonts w:ascii="Times New Roman" w:hAnsi="Times New Roman"/>
                <w:sz w:val="20"/>
              </w:rPr>
              <w:t>2 160 000</w:t>
            </w:r>
          </w:p>
        </w:tc>
        <w:tc>
          <w:tcPr>
            <w:tcW w:type="dxa" w:w="1344"/>
          </w:tcPr>
          <w:p>
            <w:r/>
            <w:r>
              <w:rPr>
                <w:rFonts w:ascii="Times New Roman" w:hAnsi="Times New Roman"/>
                <w:sz w:val="20"/>
              </w:rPr>
              <w:t>3 600 000</w:t>
            </w:r>
          </w:p>
        </w:tc>
        <w:tc>
          <w:tcPr>
            <w:tcW w:type="dxa" w:w="1344"/>
          </w:tcPr>
          <w:p>
            <w:r/>
            <w:r>
              <w:rPr>
                <w:rFonts w:ascii="Times New Roman" w:hAnsi="Times New Roman"/>
                <w:sz w:val="20"/>
              </w:rPr>
              <w:t>5 040 000</w:t>
            </w:r>
          </w:p>
        </w:tc>
      </w:tr>
      <w:tr>
        <w:tc>
          <w:tcPr>
            <w:tcW w:type="dxa" w:w="1344"/>
          </w:tcPr>
          <w:p>
            <w:r/>
            <w:r>
              <w:rPr>
                <w:rFonts w:ascii="Times New Roman" w:hAnsi="Times New Roman"/>
                <w:sz w:val="20"/>
              </w:rPr>
              <w:t>Ventes C</w:t>
            </w:r>
          </w:p>
        </w:tc>
        <w:tc>
          <w:tcPr>
            <w:tcW w:type="dxa" w:w="1344"/>
          </w:tcPr>
          <w:p>
            <w:r/>
            <w:r>
              <w:rPr>
                <w:rFonts w:ascii="Times New Roman" w:hAnsi="Times New Roman"/>
                <w:sz w:val="20"/>
              </w:rPr>
              <w:t>72 000</w:t>
            </w:r>
          </w:p>
        </w:tc>
        <w:tc>
          <w:tcPr>
            <w:tcW w:type="dxa" w:w="1344"/>
          </w:tcPr>
          <w:p>
            <w:r/>
            <w:r>
              <w:rPr>
                <w:rFonts w:ascii="Times New Roman" w:hAnsi="Times New Roman"/>
                <w:sz w:val="20"/>
              </w:rPr>
              <w:t>192 000</w:t>
            </w:r>
          </w:p>
        </w:tc>
        <w:tc>
          <w:tcPr>
            <w:tcW w:type="dxa" w:w="1344"/>
          </w:tcPr>
          <w:p>
            <w:r/>
            <w:r>
              <w:rPr>
                <w:rFonts w:ascii="Times New Roman" w:hAnsi="Times New Roman"/>
                <w:sz w:val="20"/>
              </w:rPr>
              <w:t>480 000</w:t>
            </w:r>
          </w:p>
        </w:tc>
        <w:tc>
          <w:tcPr>
            <w:tcW w:type="dxa" w:w="1344"/>
          </w:tcPr>
          <w:p>
            <w:r/>
            <w:r>
              <w:rPr>
                <w:rFonts w:ascii="Times New Roman" w:hAnsi="Times New Roman"/>
                <w:sz w:val="20"/>
              </w:rPr>
              <w:t>840 000</w:t>
            </w:r>
          </w:p>
        </w:tc>
        <w:tc>
          <w:tcPr>
            <w:tcW w:type="dxa" w:w="1344"/>
          </w:tcPr>
          <w:p>
            <w:r/>
            <w:r>
              <w:rPr>
                <w:rFonts w:ascii="Times New Roman" w:hAnsi="Times New Roman"/>
                <w:sz w:val="20"/>
              </w:rPr>
              <w:t>1 320 000</w:t>
            </w:r>
          </w:p>
        </w:tc>
        <w:tc>
          <w:tcPr>
            <w:tcW w:type="dxa" w:w="1344"/>
          </w:tcPr>
          <w:p>
            <w:r/>
            <w:r>
              <w:rPr>
                <w:rFonts w:ascii="Times New Roman" w:hAnsi="Times New Roman"/>
                <w:sz w:val="20"/>
              </w:rPr>
              <w:t>1 800 000</w:t>
            </w:r>
          </w:p>
        </w:tc>
      </w:tr>
      <w:tr>
        <w:tc>
          <w:tcPr>
            <w:tcW w:type="dxa" w:w="1344"/>
          </w:tcPr>
          <w:p>
            <w:r/>
            <w:r>
              <w:rPr>
                <w:rFonts w:ascii="Times New Roman" w:hAnsi="Times New Roman"/>
                <w:sz w:val="20"/>
              </w:rPr>
              <w:t>CA global</w:t>
            </w:r>
          </w:p>
        </w:tc>
        <w:tc>
          <w:tcPr>
            <w:tcW w:type="dxa" w:w="1344"/>
          </w:tcPr>
          <w:p>
            <w:r/>
            <w:r>
              <w:rPr>
                <w:rFonts w:ascii="Times New Roman" w:hAnsi="Times New Roman"/>
                <w:sz w:val="20"/>
              </w:rPr>
              <w:t>752 000</w:t>
            </w:r>
          </w:p>
        </w:tc>
        <w:tc>
          <w:tcPr>
            <w:tcW w:type="dxa" w:w="1344"/>
          </w:tcPr>
          <w:p>
            <w:r/>
            <w:r>
              <w:rPr>
                <w:rFonts w:ascii="Times New Roman" w:hAnsi="Times New Roman"/>
                <w:sz w:val="20"/>
              </w:rPr>
              <w:t>2 232 000</w:t>
            </w:r>
          </w:p>
        </w:tc>
        <w:tc>
          <w:tcPr>
            <w:tcW w:type="dxa" w:w="1344"/>
          </w:tcPr>
          <w:p>
            <w:r/>
            <w:r>
              <w:rPr>
                <w:rFonts w:ascii="Times New Roman" w:hAnsi="Times New Roman"/>
                <w:sz w:val="20"/>
              </w:rPr>
              <w:t>5 240 000</w:t>
            </w:r>
          </w:p>
        </w:tc>
        <w:tc>
          <w:tcPr>
            <w:tcW w:type="dxa" w:w="1344"/>
          </w:tcPr>
          <w:p>
            <w:r/>
            <w:r>
              <w:rPr>
                <w:rFonts w:ascii="Times New Roman" w:hAnsi="Times New Roman"/>
                <w:sz w:val="20"/>
              </w:rPr>
              <w:t>10 500 000</w:t>
            </w:r>
          </w:p>
        </w:tc>
        <w:tc>
          <w:tcPr>
            <w:tcW w:type="dxa" w:w="1344"/>
          </w:tcPr>
          <w:p>
            <w:r/>
            <w:r>
              <w:rPr>
                <w:rFonts w:ascii="Times New Roman" w:hAnsi="Times New Roman"/>
                <w:sz w:val="20"/>
              </w:rPr>
              <w:t>17 920 000</w:t>
            </w:r>
          </w:p>
        </w:tc>
        <w:tc>
          <w:tcPr>
            <w:tcW w:type="dxa" w:w="1344"/>
          </w:tcPr>
          <w:p>
            <w:r/>
            <w:r>
              <w:rPr>
                <w:rFonts w:ascii="Times New Roman" w:hAnsi="Times New Roman"/>
                <w:sz w:val="20"/>
              </w:rPr>
              <w:t>24 840 000</w:t>
            </w:r>
          </w:p>
        </w:tc>
      </w:tr>
    </w:tbl>
    <w:p>
      <w:pPr>
        <w:spacing w:before="160" w:after="80"/>
      </w:pPr>
      <w:r>
        <w:rPr>
          <w:rFonts w:ascii="Times New Roman" w:hAnsi="Times New Roman"/>
          <w:b/>
          <w:sz w:val="26"/>
        </w:rPr>
        <w:t>3. Comptes de résultats escomptés</w:t>
      </w:r>
    </w:p>
    <w:p>
      <w:pPr>
        <w:spacing w:before="120"/>
      </w:pPr>
      <w:r>
        <w:rPr>
          <w:rFonts w:ascii="Times New Roman" w:hAnsi="Times New Roman"/>
          <w:b/>
          <w:sz w:val="24"/>
        </w:rPr>
        <w:t>Compte de résultat prévisionnel (scénario optimiste)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D9E2F3"/>
          </w:tcPr>
          <w:p>
            <w:pPr>
              <w:jc w:val="center"/>
            </w:pPr>
            <w:r/>
            <w:r>
              <w:rPr>
                <w:rFonts w:ascii="Times New Roman" w:hAnsi="Times New Roman"/>
                <w:b/>
                <w:sz w:val="20"/>
              </w:rPr>
              <w:t>En DZD</w:t>
            </w:r>
          </w:p>
        </w:tc>
        <w:tc>
          <w:tcPr>
            <w:tcW w:type="dxa" w:w="2351"/>
            <w:shd w:fill="D9E2F3"/>
          </w:tcPr>
          <w:p>
            <w:pPr>
              <w:jc w:val="center"/>
            </w:pPr>
            <w:r/>
            <w:r>
              <w:rPr>
                <w:rFonts w:ascii="Times New Roman" w:hAnsi="Times New Roman"/>
                <w:b/>
                <w:sz w:val="20"/>
              </w:rPr>
              <w:t>N</w:t>
            </w:r>
          </w:p>
        </w:tc>
        <w:tc>
          <w:tcPr>
            <w:tcW w:type="dxa" w:w="2351"/>
            <w:shd w:fill="D9E2F3"/>
          </w:tcPr>
          <w:p>
            <w:pPr>
              <w:jc w:val="center"/>
            </w:pPr>
            <w:r/>
            <w:r>
              <w:rPr>
                <w:rFonts w:ascii="Times New Roman" w:hAnsi="Times New Roman"/>
                <w:b/>
                <w:sz w:val="20"/>
              </w:rPr>
              <w:t>N+1</w:t>
            </w:r>
          </w:p>
        </w:tc>
        <w:tc>
          <w:tcPr>
            <w:tcW w:type="dxa" w:w="2351"/>
            <w:shd w:fill="D9E2F3"/>
          </w:tcPr>
          <w:p>
            <w:pPr>
              <w:jc w:val="center"/>
            </w:pPr>
            <w:r/>
            <w:r>
              <w:rPr>
                <w:rFonts w:ascii="Times New Roman" w:hAnsi="Times New Roman"/>
                <w:b/>
                <w:sz w:val="20"/>
              </w:rPr>
              <w:t>N+2</w:t>
            </w:r>
          </w:p>
        </w:tc>
      </w:tr>
      <w:tr>
        <w:tc>
          <w:tcPr>
            <w:tcW w:type="dxa" w:w="2351"/>
          </w:tcPr>
          <w:p>
            <w:r/>
            <w:r>
              <w:rPr>
                <w:rFonts w:ascii="Times New Roman" w:hAnsi="Times New Roman"/>
                <w:sz w:val="20"/>
              </w:rPr>
              <w:t>Chiffre d'affaires</w:t>
            </w:r>
          </w:p>
        </w:tc>
        <w:tc>
          <w:tcPr>
            <w:tcW w:type="dxa" w:w="2351"/>
          </w:tcPr>
          <w:p>
            <w:r/>
            <w:r>
              <w:rPr>
                <w:rFonts w:ascii="Times New Roman" w:hAnsi="Times New Roman"/>
                <w:sz w:val="20"/>
              </w:rPr>
              <w:t>1 480 000</w:t>
            </w:r>
          </w:p>
        </w:tc>
        <w:tc>
          <w:tcPr>
            <w:tcW w:type="dxa" w:w="2351"/>
          </w:tcPr>
          <w:p>
            <w:r/>
            <w:r>
              <w:rPr>
                <w:rFonts w:ascii="Times New Roman" w:hAnsi="Times New Roman"/>
                <w:sz w:val="20"/>
              </w:rPr>
              <w:t>3 940 000</w:t>
            </w:r>
          </w:p>
        </w:tc>
        <w:tc>
          <w:tcPr>
            <w:tcW w:type="dxa" w:w="2351"/>
          </w:tcPr>
          <w:p>
            <w:r/>
            <w:r>
              <w:rPr>
                <w:rFonts w:ascii="Times New Roman" w:hAnsi="Times New Roman"/>
                <w:sz w:val="20"/>
              </w:rPr>
              <w:t>8 880 000</w:t>
            </w:r>
          </w:p>
        </w:tc>
      </w:tr>
      <w:tr>
        <w:tc>
          <w:tcPr>
            <w:tcW w:type="dxa" w:w="2351"/>
          </w:tcPr>
          <w:p>
            <w:r/>
            <w:r>
              <w:rPr>
                <w:rFonts w:ascii="Times New Roman" w:hAnsi="Times New Roman"/>
                <w:sz w:val="20"/>
              </w:rPr>
              <w:t>Charges d'exploitation</w:t>
            </w:r>
          </w:p>
        </w:tc>
        <w:tc>
          <w:tcPr>
            <w:tcW w:type="dxa" w:w="2351"/>
          </w:tcPr>
          <w:p>
            <w:r/>
            <w:r>
              <w:rPr>
                <w:rFonts w:ascii="Times New Roman" w:hAnsi="Times New Roman"/>
                <w:sz w:val="20"/>
              </w:rPr>
              <w:t>2 400 000</w:t>
            </w:r>
          </w:p>
        </w:tc>
        <w:tc>
          <w:tcPr>
            <w:tcW w:type="dxa" w:w="2351"/>
          </w:tcPr>
          <w:p>
            <w:r/>
            <w:r>
              <w:rPr>
                <w:rFonts w:ascii="Times New Roman" w:hAnsi="Times New Roman"/>
                <w:sz w:val="20"/>
              </w:rPr>
              <w:t>2 940 000</w:t>
            </w:r>
          </w:p>
        </w:tc>
        <w:tc>
          <w:tcPr>
            <w:tcW w:type="dxa" w:w="2351"/>
          </w:tcPr>
          <w:p>
            <w:r/>
            <w:r>
              <w:rPr>
                <w:rFonts w:ascii="Times New Roman" w:hAnsi="Times New Roman"/>
                <w:sz w:val="20"/>
              </w:rPr>
              <w:t>3 960 000</w:t>
            </w:r>
          </w:p>
        </w:tc>
      </w:tr>
      <w:tr>
        <w:tc>
          <w:tcPr>
            <w:tcW w:type="dxa" w:w="2351"/>
          </w:tcPr>
          <w:p>
            <w:r/>
            <w:r>
              <w:rPr>
                <w:rFonts w:ascii="Times New Roman" w:hAnsi="Times New Roman"/>
                <w:sz w:val="20"/>
              </w:rPr>
              <w:t>Résultat d'exploitation</w:t>
            </w:r>
          </w:p>
        </w:tc>
        <w:tc>
          <w:tcPr>
            <w:tcW w:type="dxa" w:w="2351"/>
          </w:tcPr>
          <w:p>
            <w:r/>
            <w:r>
              <w:rPr>
                <w:rFonts w:ascii="Times New Roman" w:hAnsi="Times New Roman"/>
                <w:sz w:val="20"/>
              </w:rPr>
              <w:t>-920 000</w:t>
            </w:r>
          </w:p>
        </w:tc>
        <w:tc>
          <w:tcPr>
            <w:tcW w:type="dxa" w:w="2351"/>
          </w:tcPr>
          <w:p>
            <w:r/>
            <w:r>
              <w:rPr>
                <w:rFonts w:ascii="Times New Roman" w:hAnsi="Times New Roman"/>
                <w:sz w:val="20"/>
              </w:rPr>
              <w:t>1 000 000</w:t>
            </w:r>
          </w:p>
        </w:tc>
        <w:tc>
          <w:tcPr>
            <w:tcW w:type="dxa" w:w="2351"/>
          </w:tcPr>
          <w:p>
            <w:r/>
            <w:r>
              <w:rPr>
                <w:rFonts w:ascii="Times New Roman" w:hAnsi="Times New Roman"/>
                <w:sz w:val="20"/>
              </w:rPr>
              <w:t>4 920 000</w:t>
            </w:r>
          </w:p>
        </w:tc>
      </w:tr>
      <w:tr>
        <w:tc>
          <w:tcPr>
            <w:tcW w:type="dxa" w:w="2351"/>
          </w:tcPr>
          <w:p>
            <w:r/>
            <w:r>
              <w:rPr>
                <w:rFonts w:ascii="Times New Roman" w:hAnsi="Times New Roman"/>
                <w:sz w:val="20"/>
              </w:rPr>
              <w:t>Résultat net</w:t>
            </w:r>
          </w:p>
        </w:tc>
        <w:tc>
          <w:tcPr>
            <w:tcW w:type="dxa" w:w="2351"/>
          </w:tcPr>
          <w:p>
            <w:r/>
            <w:r>
              <w:rPr>
                <w:rFonts w:ascii="Times New Roman" w:hAnsi="Times New Roman"/>
                <w:sz w:val="20"/>
              </w:rPr>
              <w:t>-920 000</w:t>
            </w:r>
          </w:p>
        </w:tc>
        <w:tc>
          <w:tcPr>
            <w:tcW w:type="dxa" w:w="2351"/>
          </w:tcPr>
          <w:p>
            <w:r/>
            <w:r>
              <w:rPr>
                <w:rFonts w:ascii="Times New Roman" w:hAnsi="Times New Roman"/>
                <w:sz w:val="20"/>
              </w:rPr>
              <w:t>1 000 000</w:t>
            </w:r>
          </w:p>
        </w:tc>
        <w:tc>
          <w:tcPr>
            <w:tcW w:type="dxa" w:w="2351"/>
          </w:tcPr>
          <w:p>
            <w:r/>
            <w:r>
              <w:rPr>
                <w:rFonts w:ascii="Times New Roman" w:hAnsi="Times New Roman"/>
                <w:sz w:val="20"/>
              </w:rPr>
              <w:t>4 920 000</w:t>
            </w:r>
          </w:p>
        </w:tc>
      </w:tr>
    </w:tbl>
    <w:p>
      <w:pPr>
        <w:spacing w:after="80"/>
      </w:pPr>
      <w:r>
        <w:rPr>
          <w:rFonts w:ascii="Times New Roman" w:hAnsi="Times New Roman"/>
          <w:b w:val="0"/>
          <w:sz w:val="24"/>
        </w:rPr>
        <w:t>Le seuil de rentabilité est atteint à partir de N+1 dans le scénario optimiste.</w:t>
      </w:r>
    </w:p>
    <w:p>
      <w:pPr>
        <w:spacing w:before="160" w:after="80"/>
      </w:pPr>
      <w:r>
        <w:rPr>
          <w:rFonts w:ascii="Times New Roman" w:hAnsi="Times New Roman"/>
          <w:b/>
          <w:sz w:val="26"/>
        </w:rPr>
        <w:t>4. Plan de trésorerie</w:t>
      </w:r>
    </w:p>
    <w:p>
      <w:pPr>
        <w:spacing w:after="80"/>
      </w:pPr>
      <w:r>
        <w:rPr>
          <w:rFonts w:ascii="Times New Roman" w:hAnsi="Times New Roman"/>
          <w:b w:val="0"/>
          <w:sz w:val="24"/>
        </w:rPr>
        <w:t>La trésorerie initiale est estimée à 1 549 000 DA dès le premier mois, provenant de la subvention de démarrage et des premiers abonnements. Les principales dépenses mensuelles concernent les salaires (équipe technique et commerciale), l'hébergement cloud, le marketing, le loyer et les frais généraux.</w:t>
      </w:r>
    </w:p>
    <w:p>
      <w:pPr>
        <w:spacing w:after="80"/>
      </w:pPr>
      <w:r>
        <w:rPr>
          <w:rFonts w:ascii="Times New Roman" w:hAnsi="Times New Roman"/>
          <w:b w:val="0"/>
          <w:sz w:val="24"/>
        </w:rPr>
        <w:t>Une gestion rigoureuse du cash-flow est essentielle durant la première année (déficitaire). La trésorerie augmente progressivement grâce aux revenus récurrents des abonnements, avec un équilibre atteint à partir de N+1.</w:t>
      </w:r>
    </w:p>
    <w:p>
      <w:r>
        <w:br w:type="page"/>
      </w:r>
    </w:p>
    <w:p>
      <w:pPr>
        <w:spacing w:before="240" w:after="120"/>
      </w:pPr>
      <w:r>
        <w:rPr>
          <w:rFonts w:ascii="Times New Roman" w:hAnsi="Times New Roman"/>
          <w:b/>
          <w:color w:val="000000"/>
          <w:sz w:val="30"/>
        </w:rPr>
        <w:t>Sixième axe : Prototype expérimental</w:t>
      </w:r>
    </w:p>
    <w:p>
      <w:pPr>
        <w:spacing w:after="80"/>
      </w:pPr>
      <w:r>
        <w:rPr>
          <w:rFonts w:ascii="Times New Roman" w:hAnsi="Times New Roman"/>
          <w:b w:val="0"/>
          <w:sz w:val="24"/>
        </w:rPr>
        <w:t>Le prototype de Smart Healthy est une plateforme web fonctionnelle développée avec Next.js 16, React 19 et Supabase (Backend as a Service). La base de données repose sur PostgreSQL avec 18 tables protégées par Row Level Security (RLS), garantissant un haut niveau de protection des données de santé des utilisateurs.</w:t>
      </w:r>
    </w:p>
    <w:p>
      <w:pPr>
        <w:spacing w:before="160" w:after="80"/>
      </w:pPr>
      <w:r>
        <w:rPr>
          <w:rFonts w:ascii="Times New Roman" w:hAnsi="Times New Roman"/>
          <w:b/>
          <w:sz w:val="26"/>
        </w:rPr>
        <w:t>Fonctionnalités destinées aux utilisateurs</w:t>
      </w:r>
    </w:p>
    <w:p>
      <w:pPr>
        <w:pStyle w:val="ListBullet"/>
      </w:pPr>
      <w:r>
        <w:rPr>
          <w:rFonts w:ascii="Times New Roman" w:hAnsi="Times New Roman"/>
          <w:sz w:val="24"/>
        </w:rPr>
        <w:t>Onboarding personnalisé en 2 étapes : collecte des données biométriques (âge, poids, taille, activité) puis sélection de la condition de santé (diabétique, cœliaque, mode sain, végétarien).</w:t>
      </w:r>
    </w:p>
    <w:p>
      <w:pPr>
        <w:pStyle w:val="ListBullet"/>
      </w:pPr>
      <w:r>
        <w:rPr>
          <w:rFonts w:ascii="Times New Roman" w:hAnsi="Times New Roman"/>
          <w:sz w:val="24"/>
        </w:rPr>
        <w:t>Tableau de bord personnalisé avec indicateurs clés (produits sauvegardés, recettes, articles lus, objectif calorique) et section « Pour vous » avec produits adaptés au profil.</w:t>
      </w:r>
    </w:p>
    <w:p>
      <w:pPr>
        <w:pStyle w:val="ListBullet"/>
      </w:pPr>
      <w:r>
        <w:rPr>
          <w:rFonts w:ascii="Times New Roman" w:hAnsi="Times New Roman"/>
          <w:sz w:val="24"/>
        </w:rPr>
        <w:t>Catalogue de 1 012 produits classés par Nutri-Score (A à E) et indice glycémique, avec badges de compatibilité.</w:t>
      </w:r>
    </w:p>
    <w:p>
      <w:pPr>
        <w:pStyle w:val="ListBullet"/>
      </w:pPr>
      <w:r>
        <w:rPr>
          <w:rFonts w:ascii="Times New Roman" w:hAnsi="Times New Roman"/>
          <w:sz w:val="24"/>
        </w:rPr>
        <w:t>Fiche produit détaillée indiquant la compatibilité diabétique/cœliaque, le Nutri-Score et l'indice glycémique sur échelle visuelle.</w:t>
      </w:r>
    </w:p>
    <w:p>
      <w:pPr>
        <w:pStyle w:val="ListBullet"/>
      </w:pPr>
      <w:r>
        <w:rPr>
          <w:rFonts w:ascii="Times New Roman" w:hAnsi="Times New Roman"/>
          <w:sz w:val="24"/>
        </w:rPr>
        <w:t>Géolocalisation des commerces partenaires sur carte interactive avec calcul d'itinéraire.</w:t>
      </w:r>
    </w:p>
    <w:p>
      <w:pPr>
        <w:pStyle w:val="ListBullet"/>
      </w:pPr>
      <w:r>
        <w:rPr>
          <w:rFonts w:ascii="Times New Roman" w:hAnsi="Times New Roman"/>
          <w:sz w:val="24"/>
        </w:rPr>
        <w:t>Générateur de recettes personnalisées avec filtres par régime (faible IG, sans gluten, végétarien) et fiches détaillées (temps, calories, difficulté).</w:t>
      </w:r>
    </w:p>
    <w:p>
      <w:pPr>
        <w:pStyle w:val="ListBullet"/>
      </w:pPr>
      <w:r>
        <w:rPr>
          <w:rFonts w:ascii="Times New Roman" w:hAnsi="Times New Roman"/>
          <w:sz w:val="24"/>
        </w:rPr>
        <w:t>Contenu éducatif adapté à chaque pathologie : articles thématiques, quiz, conseils personnalisés.</w:t>
      </w:r>
    </w:p>
    <w:p>
      <w:pPr>
        <w:pStyle w:val="ListBullet"/>
      </w:pPr>
      <w:r>
        <w:rPr>
          <w:rFonts w:ascii="Times New Roman" w:hAnsi="Times New Roman"/>
          <w:sz w:val="24"/>
        </w:rPr>
        <w:t>Liste de courses interactive pour organiser les achats selon les recommandations nutritionnelles.</w:t>
      </w:r>
    </w:p>
    <w:p>
      <w:pPr>
        <w:spacing w:before="160" w:after="80"/>
      </w:pPr>
      <w:r>
        <w:rPr>
          <w:rFonts w:ascii="Times New Roman" w:hAnsi="Times New Roman"/>
          <w:b/>
          <w:sz w:val="26"/>
        </w:rPr>
        <w:t>Fonctionnalités destinées aux partenaires</w:t>
      </w:r>
    </w:p>
    <w:p>
      <w:pPr>
        <w:pStyle w:val="ListBullet"/>
      </w:pPr>
      <w:r>
        <w:rPr>
          <w:rFonts w:ascii="Times New Roman" w:hAnsi="Times New Roman"/>
          <w:sz w:val="24"/>
        </w:rPr>
        <w:t>Tableau de bord B2B avec indicateurs commerciaux (ventes du jour, vues, alertes stock, produits les plus recherchés).</w:t>
      </w:r>
    </w:p>
    <w:p>
      <w:pPr>
        <w:pStyle w:val="ListBullet"/>
      </w:pPr>
      <w:r>
        <w:rPr>
          <w:rFonts w:ascii="Times New Roman" w:hAnsi="Times New Roman"/>
          <w:sz w:val="24"/>
        </w:rPr>
        <w:t>Importation du catalogue via fichier CSV et gestion de l'inventaire (activation/désactivation des articles).</w:t>
      </w:r>
    </w:p>
    <w:p>
      <w:pPr>
        <w:pStyle w:val="ListBullet"/>
      </w:pPr>
      <w:r>
        <w:rPr>
          <w:rFonts w:ascii="Times New Roman" w:hAnsi="Times New Roman"/>
          <w:sz w:val="24"/>
        </w:rPr>
        <w:t>Gestion des coordonnées du magasin pour intégration dans le module de géolocalisation.</w:t>
      </w:r>
    </w:p>
    <w:p>
      <w:pPr>
        <w:spacing w:before="160" w:after="80"/>
      </w:pPr>
      <w:r>
        <w:rPr>
          <w:rFonts w:ascii="Times New Roman" w:hAnsi="Times New Roman"/>
          <w:b/>
          <w:sz w:val="26"/>
        </w:rPr>
        <w:t>Architecture technique</w:t>
      </w:r>
    </w:p>
    <w:tbl>
      <w:tblPr>
        <w:tblStyle w:val="TableGrid"/>
        <w:tblW w:type="auto" w:w="0"/>
        <w:jc w:val="center"/>
        <w:tblLook w:firstColumn="1" w:firstRow="1" w:lastColumn="0" w:lastRow="0" w:noHBand="0" w:noVBand="1" w:val="04A0"/>
      </w:tblPr>
      <w:tblGrid>
        <w:gridCol w:w="4703"/>
        <w:gridCol w:w="4703"/>
      </w:tblGrid>
      <w:tr>
        <w:tc>
          <w:tcPr>
            <w:tcW w:type="dxa" w:w="4703"/>
            <w:shd w:fill="D9E2F3"/>
          </w:tcPr>
          <w:p>
            <w:pPr>
              <w:jc w:val="center"/>
            </w:pPr>
            <w:r/>
            <w:r>
              <w:rPr>
                <w:rFonts w:ascii="Times New Roman" w:hAnsi="Times New Roman"/>
                <w:b/>
                <w:sz w:val="20"/>
              </w:rPr>
              <w:t>Composant</w:t>
            </w:r>
          </w:p>
        </w:tc>
        <w:tc>
          <w:tcPr>
            <w:tcW w:type="dxa" w:w="4703"/>
            <w:shd w:fill="D9E2F3"/>
          </w:tcPr>
          <w:p>
            <w:pPr>
              <w:jc w:val="center"/>
            </w:pPr>
            <w:r/>
            <w:r>
              <w:rPr>
                <w:rFonts w:ascii="Times New Roman" w:hAnsi="Times New Roman"/>
                <w:b/>
                <w:sz w:val="20"/>
              </w:rPr>
              <w:t>Technologie</w:t>
            </w:r>
          </w:p>
        </w:tc>
      </w:tr>
      <w:tr>
        <w:tc>
          <w:tcPr>
            <w:tcW w:type="dxa" w:w="4703"/>
          </w:tcPr>
          <w:p>
            <w:r/>
            <w:r>
              <w:rPr>
                <w:rFonts w:ascii="Times New Roman" w:hAnsi="Times New Roman"/>
                <w:sz w:val="20"/>
              </w:rPr>
              <w:t>Frontend</w:t>
            </w:r>
          </w:p>
        </w:tc>
        <w:tc>
          <w:tcPr>
            <w:tcW w:type="dxa" w:w="4703"/>
          </w:tcPr>
          <w:p>
            <w:r/>
            <w:r>
              <w:rPr>
                <w:rFonts w:ascii="Times New Roman" w:hAnsi="Times New Roman"/>
                <w:sz w:val="20"/>
              </w:rPr>
              <w:t>Next.js 16, React 19</w:t>
            </w:r>
          </w:p>
        </w:tc>
      </w:tr>
      <w:tr>
        <w:tc>
          <w:tcPr>
            <w:tcW w:type="dxa" w:w="4703"/>
          </w:tcPr>
          <w:p>
            <w:r/>
            <w:r>
              <w:rPr>
                <w:rFonts w:ascii="Times New Roman" w:hAnsi="Times New Roman"/>
                <w:sz w:val="20"/>
              </w:rPr>
              <w:t>Backend</w:t>
            </w:r>
          </w:p>
        </w:tc>
        <w:tc>
          <w:tcPr>
            <w:tcW w:type="dxa" w:w="4703"/>
          </w:tcPr>
          <w:p>
            <w:r/>
            <w:r>
              <w:rPr>
                <w:rFonts w:ascii="Times New Roman" w:hAnsi="Times New Roman"/>
                <w:sz w:val="20"/>
              </w:rPr>
              <w:t>Supabase (Backend as a Service)</w:t>
            </w:r>
          </w:p>
        </w:tc>
      </w:tr>
      <w:tr>
        <w:tc>
          <w:tcPr>
            <w:tcW w:type="dxa" w:w="4703"/>
          </w:tcPr>
          <w:p>
            <w:r/>
            <w:r>
              <w:rPr>
                <w:rFonts w:ascii="Times New Roman" w:hAnsi="Times New Roman"/>
                <w:sz w:val="20"/>
              </w:rPr>
              <w:t>Base de données</w:t>
            </w:r>
          </w:p>
        </w:tc>
        <w:tc>
          <w:tcPr>
            <w:tcW w:type="dxa" w:w="4703"/>
          </w:tcPr>
          <w:p>
            <w:r/>
            <w:r>
              <w:rPr>
                <w:rFonts w:ascii="Times New Roman" w:hAnsi="Times New Roman"/>
                <w:sz w:val="20"/>
              </w:rPr>
              <w:t>PostgreSQL — 18 tables avec Row Level Security (RLS)</w:t>
            </w:r>
          </w:p>
        </w:tc>
      </w:tr>
      <w:tr>
        <w:tc>
          <w:tcPr>
            <w:tcW w:type="dxa" w:w="4703"/>
          </w:tcPr>
          <w:p>
            <w:r/>
            <w:r>
              <w:rPr>
                <w:rFonts w:ascii="Times New Roman" w:hAnsi="Times New Roman"/>
                <w:sz w:val="20"/>
              </w:rPr>
              <w:t>Authentification</w:t>
            </w:r>
          </w:p>
        </w:tc>
        <w:tc>
          <w:tcPr>
            <w:tcW w:type="dxa" w:w="4703"/>
          </w:tcPr>
          <w:p>
            <w:r/>
            <w:r>
              <w:rPr>
                <w:rFonts w:ascii="Times New Roman" w:hAnsi="Times New Roman"/>
                <w:sz w:val="20"/>
              </w:rPr>
              <w:t>Email/mot de passe + Google OAuth</w:t>
            </w:r>
          </w:p>
        </w:tc>
      </w:tr>
    </w:tbl>
    <w:p>
      <w:r>
        <w:br w:type="page"/>
      </w:r>
    </w:p>
    <w:p>
      <w:pPr>
        <w:spacing w:before="240" w:after="120"/>
      </w:pPr>
      <w:r>
        <w:rPr>
          <w:rFonts w:ascii="Times New Roman" w:hAnsi="Times New Roman"/>
          <w:b/>
          <w:color w:val="000000"/>
          <w:sz w:val="30"/>
        </w:rPr>
        <w:t>Business Model Canvas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D9E2F3"/>
          </w:tcPr>
          <w:p>
            <w:pPr>
              <w:jc w:val="center"/>
            </w:pPr>
            <w:r/>
            <w:r>
              <w:rPr>
                <w:rFonts w:ascii="Times New Roman" w:hAnsi="Times New Roman"/>
                <w:b/>
                <w:sz w:val="18"/>
              </w:rPr>
              <w:t>Partenariats clés</w:t>
            </w:r>
          </w:p>
        </w:tc>
        <w:tc>
          <w:tcPr>
            <w:tcW w:type="dxa" w:w="1881"/>
            <w:shd w:fill="D9E2F3"/>
          </w:tcPr>
          <w:p>
            <w:pPr>
              <w:jc w:val="center"/>
            </w:pPr>
            <w:r/>
            <w:r>
              <w:rPr>
                <w:rFonts w:ascii="Times New Roman" w:hAnsi="Times New Roman"/>
                <w:b/>
                <w:sz w:val="18"/>
              </w:rPr>
              <w:t>Activités clés</w:t>
              <w:br/>
              <w:t>Ressources clés</w:t>
            </w:r>
          </w:p>
        </w:tc>
        <w:tc>
          <w:tcPr>
            <w:tcW w:type="dxa" w:w="1881"/>
            <w:shd w:fill="D9E2F3"/>
          </w:tcPr>
          <w:p>
            <w:pPr>
              <w:jc w:val="center"/>
            </w:pPr>
            <w:r/>
            <w:r>
              <w:rPr>
                <w:rFonts w:ascii="Times New Roman" w:hAnsi="Times New Roman"/>
                <w:b/>
                <w:sz w:val="18"/>
              </w:rPr>
              <w:t>Proposition de valeur</w:t>
            </w:r>
          </w:p>
        </w:tc>
        <w:tc>
          <w:tcPr>
            <w:tcW w:type="dxa" w:w="1881"/>
            <w:shd w:fill="D9E2F3"/>
          </w:tcPr>
          <w:p>
            <w:pPr>
              <w:jc w:val="center"/>
            </w:pPr>
            <w:r/>
            <w:r>
              <w:rPr>
                <w:rFonts w:ascii="Times New Roman" w:hAnsi="Times New Roman"/>
                <w:b/>
                <w:sz w:val="18"/>
              </w:rPr>
              <w:t>Relation client</w:t>
              <w:br/>
              <w:t>Canaux</w:t>
            </w:r>
          </w:p>
        </w:tc>
        <w:tc>
          <w:tcPr>
            <w:tcW w:type="dxa" w:w="1881"/>
            <w:shd w:fill="D9E2F3"/>
          </w:tcPr>
          <w:p>
            <w:pPr>
              <w:jc w:val="center"/>
            </w:pPr>
            <w:r/>
            <w:r>
              <w:rPr>
                <w:rFonts w:ascii="Times New Roman" w:hAnsi="Times New Roman"/>
                <w:b/>
                <w:sz w:val="18"/>
              </w:rPr>
              <w:t>Segments de clientèle</w:t>
            </w:r>
          </w:p>
        </w:tc>
      </w:tr>
      <w:tr>
        <w:tc>
          <w:tcPr>
            <w:tcW w:type="dxa" w:w="1881"/>
          </w:tcPr>
          <w:p>
            <w:r/>
            <w:r>
              <w:rPr>
                <w:rFonts w:ascii="Times New Roman" w:hAnsi="Times New Roman"/>
                <w:sz w:val="16"/>
              </w:rPr>
              <w:t>• Commerçants partenaires</w:t>
              <w:br/>
              <w:t>• Nutritionniste partenaire</w:t>
              <w:br/>
              <w:t>• Associations de patients</w:t>
              <w:br/>
              <w:t>• Incubateurs universitaires</w:t>
              <w:br/>
              <w:t>• Fournisseurs cloud (Supabase, Vercel)</w:t>
            </w:r>
          </w:p>
        </w:tc>
        <w:tc>
          <w:tcPr>
            <w:tcW w:type="dxa" w:w="1881"/>
          </w:tcPr>
          <w:p>
            <w:r/>
            <w:r>
              <w:rPr>
                <w:rFonts w:ascii="Times New Roman" w:hAnsi="Times New Roman"/>
                <w:sz w:val="16"/>
              </w:rPr>
              <w:t>Activités :</w:t>
              <w:br/>
              <w:t>Développement &amp; maintenance</w:t>
              <w:br/>
              <w:t>Classification nutritionnelle</w:t>
              <w:br/>
              <w:t>Moteur de scoring</w:t>
              <w:br/>
              <w:t>Gestion partenariats B2B</w:t>
              <w:br/>
              <w:t>Marketing de traction</w:t>
              <w:br/>
              <w:br/>
              <w:t>Ressources :</w:t>
              <w:br/>
              <w:t>Next.js 16 + React 19</w:t>
              <w:br/>
              <w:t>PostgreSQL 18 tables (RLS)</w:t>
              <w:br/>
              <w:t>Base produits algériens</w:t>
              <w:br/>
              <w:t>Expertise IA/santé</w:t>
            </w:r>
          </w:p>
        </w:tc>
        <w:tc>
          <w:tcPr>
            <w:tcW w:type="dxa" w:w="1881"/>
          </w:tcPr>
          <w:p>
            <w:r/>
            <w:r>
              <w:rPr>
                <w:rFonts w:ascii="Times New Roman" w:hAnsi="Times New Roman"/>
                <w:sz w:val="16"/>
              </w:rPr>
              <w:t>• Recommandations nutritionnelles personnalisées</w:t>
              <w:br/>
              <w:t>• Catalogue produits algériens compatibles</w:t>
              <w:br/>
              <w:t>• Filtrage par pathologie</w:t>
              <w:br/>
              <w:t>• Contenu éducatif adapté</w:t>
              <w:br/>
              <w:t>• Réduction des risques alimentaires</w:t>
              <w:br/>
              <w:t>• Simplification des choix quotidiens</w:t>
            </w:r>
          </w:p>
        </w:tc>
        <w:tc>
          <w:tcPr>
            <w:tcW w:type="dxa" w:w="1881"/>
          </w:tcPr>
          <w:p>
            <w:r/>
            <w:r>
              <w:rPr>
                <w:rFonts w:ascii="Times New Roman" w:hAnsi="Times New Roman"/>
                <w:sz w:val="16"/>
              </w:rPr>
              <w:t>Relation :</w:t>
              <w:br/>
              <w:t>Chat intégré, notifications push</w:t>
              <w:br/>
              <w:t>Profil santé personnalisé</w:t>
              <w:br/>
              <w:t>Onboarding guidé</w:t>
              <w:br/>
              <w:br/>
              <w:t>Canaux :</w:t>
              <w:br/>
              <w:t>Plateforme web (responsive)</w:t>
              <w:br/>
              <w:t>Réseaux sociaux, blog santé</w:t>
              <w:br/>
              <w:t>QR codes en pharmacie</w:t>
              <w:br/>
              <w:t>Associations de patients</w:t>
            </w:r>
          </w:p>
        </w:tc>
        <w:tc>
          <w:tcPr>
            <w:tcW w:type="dxa" w:w="1881"/>
          </w:tcPr>
          <w:p>
            <w:r/>
            <w:r>
              <w:rPr>
                <w:rFonts w:ascii="Times New Roman" w:hAnsi="Times New Roman"/>
                <w:sz w:val="16"/>
              </w:rPr>
              <w:t>B2C :</w:t>
              <w:br/>
              <w:t>Patients diabétiques et cœliaques</w:t>
              <w:br/>
              <w:br/>
              <w:t>B2B :</w:t>
              <w:br/>
              <w:t>Commerces spécialisés</w:t>
              <w:br/>
              <w:t>Grandes surfaces, pharmacies</w:t>
              <w:br/>
              <w:br/>
              <w:t>B2P :</w:t>
              <w:br/>
              <w:t>Nutritionnistes</w:t>
              <w:br/>
              <w:t>Professionnels de santé</w:t>
            </w:r>
          </w:p>
        </w:tc>
      </w:tr>
      <w:tr>
        <w:tc>
          <w:tcPr>
            <w:tcW w:type="dxa" w:w="5643"/>
            <w:gridSpan w:val="3"/>
            <w:shd w:fill="D9E2F3"/>
          </w:tcPr>
          <w:p>
            <w:r>
              <w:rPr>
                <w:rFonts w:ascii="Times New Roman" w:hAnsi="Times New Roman"/>
                <w:b/>
                <w:sz w:val="18"/>
              </w:rPr>
              <w:t>Structure des coûts</w:t>
            </w:r>
            <w:r>
              <w:rPr>
                <w:rFonts w:ascii="Times New Roman" w:hAnsi="Times New Roman"/>
                <w:sz w:val="16"/>
              </w:rPr>
              <w:br/>
              <w:br/>
              <w:t>Investissement initial : 4 800 000 DZD</w:t>
              <w:br/>
              <w:t>• Développement tech : 2 000 000</w:t>
              <w:br/>
              <w:t>• Équipement/licences : 800 000</w:t>
              <w:br/>
              <w:t>• Marketing lancement : 700 000</w:t>
              <w:br/>
              <w:t>• Frais juridiques : 300 000</w:t>
              <w:br/>
              <w:t>• Réserve trésorerie : 1 000 000</w:t>
              <w:br/>
              <w:br/>
              <w:t>Charges annuelles : ~2 400 000 DZD</w:t>
            </w:r>
          </w:p>
        </w:tc>
        <w:tc>
          <w:tcPr>
            <w:tcW w:type="dxa" w:w="3762"/>
            <w:gridSpan w:val="2"/>
            <w:shd w:fill="D9E2F3"/>
          </w:tcPr>
          <w:p>
            <w:r>
              <w:rPr>
                <w:rFonts w:ascii="Times New Roman" w:hAnsi="Times New Roman"/>
                <w:b/>
                <w:sz w:val="18"/>
              </w:rPr>
              <w:t>Sources de revenus</w:t>
            </w:r>
            <w:r>
              <w:rPr>
                <w:rFonts w:ascii="Times New Roman" w:hAnsi="Times New Roman"/>
                <w:sz w:val="16"/>
              </w:rPr>
              <w:br/>
              <w:br/>
              <w:t>Produit A : Abonnement premium</w:t>
              <w:br/>
              <w:t>5 000 DZD/an</w:t>
              <w:br/>
              <w:br/>
              <w:t>Produit B : Abonnement partenaire</w:t>
              <w:br/>
              <w:t>36 000 DZD/an</w:t>
              <w:br/>
              <w:br/>
              <w:t>Produit C : Licence nutritionniste</w:t>
              <w:br/>
              <w:t>24 000 DZD/an</w:t>
              <w:br/>
              <w:br/>
              <w:t>CA cible N+5 (optimiste) :</w:t>
              <w:br/>
              <w:t>37 100 000 DZD</w:t>
            </w:r>
          </w:p>
        </w:tc>
      </w:tr>
    </w:tbl>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