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République Algérienne Démocratique et Populaire</w:t>
      </w:r>
    </w:p>
    <w:p>
      <w:pPr>
        <w:jc w:val="center"/>
      </w:pPr>
      <w:r>
        <w:rPr>
          <w:rFonts w:ascii="Times New Roman" w:hAnsi="Times New Roman"/>
          <w:b/>
          <w:sz w:val="24"/>
        </w:rPr>
        <w:t>Ministère de l'Enseignement Supérieur et de la Recherche Scientifique</w:t>
      </w:r>
    </w:p>
    <w:p>
      <w:pPr>
        <w:jc w:val="center"/>
      </w:pPr>
      <w:r>
        <w:rPr>
          <w:rFonts w:ascii="Times New Roman" w:hAnsi="Times New Roman"/>
          <w:b/>
          <w:sz w:val="24"/>
        </w:rPr>
        <w:t>Université Badji Mokhtar — Annaba</w:t>
      </w:r>
    </w:p>
    <w:p>
      <w:pPr>
        <w:jc w:val="center"/>
      </w:pPr>
      <w:r>
        <w:rPr>
          <w:rFonts w:ascii="Times New Roman" w:hAnsi="Times New Roman"/>
          <w:b/>
          <w:sz w:val="24"/>
        </w:rPr>
        <w:t>Faculté de Technologie</w:t>
      </w:r>
    </w:p>
    <w:p/>
    <w:p>
      <w:pPr>
        <w:jc w:val="center"/>
      </w:pPr>
      <w:r>
        <w:rPr>
          <w:rFonts w:ascii="Times New Roman" w:hAnsi="Times New Roman"/>
          <w:b/>
          <w:sz w:val="32"/>
        </w:rPr>
        <w:t>Mémoire de fin d'études</w:t>
      </w:r>
    </w:p>
    <w:p>
      <w:pPr>
        <w:jc w:val="center"/>
      </w:pPr>
      <w:r>
        <w:rPr>
          <w:rFonts w:ascii="Times New Roman" w:hAnsi="Times New Roman"/>
          <w:b/>
          <w:sz w:val="28"/>
        </w:rPr>
        <w:t>Dans le cadre de l'Arrêté Ministériel n° 1275</w:t>
      </w:r>
    </w:p>
    <w:p>
      <w:pPr>
        <w:jc w:val="center"/>
      </w:pPr>
      <w:r>
        <w:rPr>
          <w:rFonts w:ascii="Times New Roman" w:hAnsi="Times New Roman"/>
          <w:b/>
          <w:sz w:val="28"/>
        </w:rPr>
        <w:t>Diplôme / Startup</w:t>
      </w:r>
    </w:p>
    <w:p/>
    <w:p/>
    <w:p>
      <w:pPr>
        <w:jc w:val="center"/>
      </w:pPr>
      <w:r>
        <w:rPr>
          <w:rFonts w:ascii="Times New Roman" w:hAnsi="Times New Roman"/>
          <w:b/>
          <w:sz w:val="36"/>
        </w:rPr>
        <w:t>Smart Healthy</w:t>
      </w:r>
    </w:p>
    <w:p>
      <w:pPr>
        <w:jc w:val="center"/>
      </w:pPr>
      <w:r>
        <w:rPr>
          <w:rFonts w:ascii="Times New Roman" w:hAnsi="Times New Roman"/>
          <w:b/>
          <w:sz w:val="26"/>
        </w:rPr>
        <w:t>Plateforme web de nutrition personnalisée pour patients atteints</w:t>
      </w:r>
    </w:p>
    <w:p>
      <w:pPr>
        <w:jc w:val="center"/>
      </w:pPr>
      <w:r>
        <w:rPr>
          <w:rFonts w:ascii="Times New Roman" w:hAnsi="Times New Roman"/>
          <w:b/>
          <w:sz w:val="26"/>
        </w:rPr>
        <w:t>de maladies chroniques (diabète et maladie cœliaque)</w:t>
      </w:r>
    </w:p>
    <w:p/>
    <w:p/>
    <w:p>
      <w:pPr>
        <w:jc w:val="center"/>
      </w:pPr>
      <w:r>
        <w:rPr>
          <w:rFonts w:ascii="Times New Roman" w:hAnsi="Times New Roman"/>
          <w:b/>
          <w:sz w:val="24"/>
        </w:rPr>
        <w:t>Présenté par :</w:t>
      </w:r>
    </w:p>
    <w:p>
      <w:pPr>
        <w:jc w:val="center"/>
      </w:pPr>
      <w:r>
        <w:rPr>
          <w:rFonts w:ascii="Times New Roman" w:hAnsi="Times New Roman"/>
          <w:b/>
          <w:sz w:val="28"/>
        </w:rPr>
        <w:t>Mezouari Abdelkader</w:t>
      </w:r>
    </w:p>
    <w:p>
      <w:pPr>
        <w:jc w:val="center"/>
      </w:pPr>
      <w:r>
        <w:rPr>
          <w:rFonts w:ascii="Times New Roman" w:hAnsi="Times New Roman"/>
          <w:b/>
          <w:sz w:val="24"/>
        </w:rPr>
        <w:t>Master 2 Systèmes d'Information Décisionnels (SID)</w:t>
      </w:r>
    </w:p>
    <w:p/>
    <w:p>
      <w:pPr>
        <w:jc w:val="center"/>
      </w:pPr>
      <w:r>
        <w:rPr>
          <w:rFonts w:ascii="Times New Roman" w:hAnsi="Times New Roman"/>
          <w:b/>
          <w:sz w:val="24"/>
        </w:rPr>
        <w:t>Année universitaire 2025/2026</w:t>
      </w:r>
    </w:p>
    <w:p>
      <w:r>
        <w:br w:type="page"/>
      </w:r>
    </w:p>
    <w:p>
      <w:pPr>
        <w:jc w:val="left"/>
      </w:pPr>
      <w:r>
        <w:rPr>
          <w:rFonts w:ascii="Times New Roman" w:hAnsi="Times New Roman"/>
          <w:b/>
          <w:color w:val="000000"/>
          <w:sz w:val="28"/>
        </w:rPr>
        <w:t>Carte d'information</w:t>
      </w:r>
    </w:p>
    <w:p>
      <w:r>
        <w:rPr>
          <w:rFonts w:ascii="Times New Roman" w:hAnsi="Times New Roman"/>
          <w:b/>
          <w:sz w:val="24"/>
        </w:rPr>
        <w:t>Équipe d'encadrement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Rôle</w:t>
            </w:r>
          </w:p>
        </w:tc>
        <w:tc>
          <w:tcPr>
            <w:tcW w:type="dxa" w:w="3135"/>
            <w:shd w:fill="D9E2F3"/>
          </w:tcPr>
          <w:p>
            <w:pPr>
              <w:jc w:val="center"/>
            </w:pPr>
            <w:r/>
            <w:r>
              <w:rPr>
                <w:rFonts w:ascii="Times New Roman" w:hAnsi="Times New Roman"/>
                <w:b/>
                <w:sz w:val="20"/>
              </w:rPr>
              <w:t>Nom</w:t>
            </w:r>
          </w:p>
        </w:tc>
        <w:tc>
          <w:tcPr>
            <w:tcW w:type="dxa" w:w="3135"/>
            <w:shd w:fill="D9E2F3"/>
          </w:tcPr>
          <w:p>
            <w:pPr>
              <w:jc w:val="center"/>
            </w:pPr>
            <w:r/>
            <w:r>
              <w:rPr>
                <w:rFonts w:ascii="Times New Roman" w:hAnsi="Times New Roman"/>
                <w:b/>
                <w:sz w:val="20"/>
              </w:rPr>
              <w:t>Spécialité</w:t>
            </w:r>
          </w:p>
        </w:tc>
      </w:tr>
      <w:tr>
        <w:tc>
          <w:tcPr>
            <w:tcW w:type="dxa" w:w="3135"/>
          </w:tcPr>
          <w:p>
            <w:r/>
            <w:r>
              <w:rPr>
                <w:rFonts w:ascii="Times New Roman" w:hAnsi="Times New Roman"/>
                <w:sz w:val="20"/>
              </w:rPr>
              <w:t>Encadrante principale</w:t>
            </w:r>
          </w:p>
        </w:tc>
        <w:tc>
          <w:tcPr>
            <w:tcW w:type="dxa" w:w="3135"/>
          </w:tcPr>
          <w:p>
            <w:r/>
            <w:r>
              <w:rPr>
                <w:rFonts w:ascii="Times New Roman" w:hAnsi="Times New Roman"/>
                <w:sz w:val="20"/>
              </w:rPr>
              <w:t>Mme Dendani Nadjette, Professeure</w:t>
            </w:r>
          </w:p>
        </w:tc>
        <w:tc>
          <w:tcPr>
            <w:tcW w:type="dxa" w:w="3135"/>
          </w:tcPr>
          <w:p>
            <w:r/>
            <w:r>
              <w:rPr>
                <w:rFonts w:ascii="Times New Roman" w:hAnsi="Times New Roman"/>
                <w:sz w:val="20"/>
              </w:rPr>
              <w:t>IA, Systèmes d'Aide à la Décision</w:t>
            </w:r>
          </w:p>
        </w:tc>
      </w:tr>
      <w:tr>
        <w:tc>
          <w:tcPr>
            <w:tcW w:type="dxa" w:w="3135"/>
          </w:tcPr>
          <w:p>
            <w:r/>
            <w:r>
              <w:rPr>
                <w:rFonts w:ascii="Times New Roman" w:hAnsi="Times New Roman"/>
                <w:sz w:val="20"/>
              </w:rPr>
              <w:t>Co-encadrante</w:t>
            </w:r>
          </w:p>
        </w:tc>
        <w:tc>
          <w:tcPr>
            <w:tcW w:type="dxa" w:w="3135"/>
          </w:tcPr>
          <w:p>
            <w:r/>
            <w:r>
              <w:rPr>
                <w:rFonts w:ascii="Times New Roman" w:hAnsi="Times New Roman"/>
                <w:sz w:val="20"/>
              </w:rPr>
              <w:t>Mme Azizi Nabira, Professeure</w:t>
            </w:r>
          </w:p>
        </w:tc>
        <w:tc>
          <w:tcPr>
            <w:tcW w:type="dxa" w:w="3135"/>
          </w:tcPr>
          <w:p>
            <w:r/>
            <w:r>
              <w:rPr>
                <w:rFonts w:ascii="Times New Roman" w:hAnsi="Times New Roman"/>
                <w:sz w:val="20"/>
              </w:rPr>
              <w:t>IA, Systèmes d'Aide à la Décision</w:t>
            </w:r>
          </w:p>
        </w:tc>
      </w:tr>
    </w:tbl>
    <w:p/>
    <w:p>
      <w:r>
        <w:rPr>
          <w:rFonts w:ascii="Times New Roman" w:hAnsi="Times New Roman"/>
          <w:b/>
          <w:sz w:val="24"/>
        </w:rPr>
        <w:t>Équipe de projet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Étudiant</w:t>
            </w:r>
          </w:p>
        </w:tc>
        <w:tc>
          <w:tcPr>
            <w:tcW w:type="dxa" w:w="3135"/>
            <w:shd w:fill="D9E2F3"/>
          </w:tcPr>
          <w:p>
            <w:pPr>
              <w:jc w:val="center"/>
            </w:pPr>
            <w:r/>
            <w:r>
              <w:rPr>
                <w:rFonts w:ascii="Times New Roman" w:hAnsi="Times New Roman"/>
                <w:b/>
                <w:sz w:val="20"/>
              </w:rPr>
              <w:t>Faculté</w:t>
            </w:r>
          </w:p>
        </w:tc>
        <w:tc>
          <w:tcPr>
            <w:tcW w:type="dxa" w:w="3135"/>
            <w:shd w:fill="D9E2F3"/>
          </w:tcPr>
          <w:p>
            <w:pPr>
              <w:jc w:val="center"/>
            </w:pPr>
            <w:r/>
            <w:r>
              <w:rPr>
                <w:rFonts w:ascii="Times New Roman" w:hAnsi="Times New Roman"/>
                <w:b/>
                <w:sz w:val="20"/>
              </w:rPr>
              <w:t>Spécialité</w:t>
            </w:r>
          </w:p>
        </w:tc>
      </w:tr>
      <w:tr>
        <w:tc>
          <w:tcPr>
            <w:tcW w:type="dxa" w:w="3135"/>
          </w:tcPr>
          <w:p>
            <w:r/>
            <w:r>
              <w:rPr>
                <w:rFonts w:ascii="Times New Roman" w:hAnsi="Times New Roman"/>
                <w:sz w:val="20"/>
              </w:rPr>
              <w:t>Mezouari Abdelkader</w:t>
            </w:r>
          </w:p>
        </w:tc>
        <w:tc>
          <w:tcPr>
            <w:tcW w:type="dxa" w:w="3135"/>
          </w:tcPr>
          <w:p>
            <w:r/>
            <w:r>
              <w:rPr>
                <w:rFonts w:ascii="Times New Roman" w:hAnsi="Times New Roman"/>
                <w:sz w:val="20"/>
              </w:rPr>
              <w:t>Faculté de Technologie</w:t>
            </w:r>
          </w:p>
        </w:tc>
        <w:tc>
          <w:tcPr>
            <w:tcW w:type="dxa" w:w="3135"/>
          </w:tcPr>
          <w:p>
            <w:r/>
            <w:r>
              <w:rPr>
                <w:rFonts w:ascii="Times New Roman" w:hAnsi="Times New Roman"/>
                <w:sz w:val="20"/>
              </w:rPr>
              <w:t>Master 2 Systèmes d'Information Décisionnels (SID)</w:t>
            </w:r>
          </w:p>
        </w:tc>
      </w:tr>
    </w:tbl>
    <w:p>
      <w:r>
        <w:br w:type="page"/>
      </w:r>
    </w:p>
    <w:p>
      <w:pPr>
        <w:jc w:val="left"/>
      </w:pPr>
      <w:r>
        <w:rPr>
          <w:rFonts w:ascii="Times New Roman" w:hAnsi="Times New Roman"/>
          <w:b/>
          <w:color w:val="000000"/>
          <w:sz w:val="28"/>
        </w:rPr>
        <w:t>Introduction</w:t>
      </w:r>
    </w:p>
    <w:p>
      <w:r>
        <w:rPr>
          <w:rFonts w:ascii="Times New Roman" w:hAnsi="Times New Roman"/>
          <w:b w:val="0"/>
          <w:i w:val="0"/>
          <w:sz w:val="24"/>
        </w:rPr>
        <w:t>Ce document constitue le mémoire de fin d'études présenté dans le cadre du dispositif de l'Arrêté Ministériel n° 1275 — Diplôme/Startup. Il présente le projet Smart Healthy, une plateforme web de nutrition personnalisée destinée aux personnes atteintes de maladies chroniques, notamment le diabète et la maladie cœliaque. Le projet adopte une approche d'innovation numérique et vise à apporter une solution concrète à un réel besoin du marché : accompagner les patients dans la gestion de leur alimentation quotidienne grâce à des recommandations adaptées à leur profil de santé, leurs restrictions alimentaires et leurs objectifs nutritionnels.</w:t>
      </w:r>
    </w:p>
    <w:p>
      <w:pPr>
        <w:jc w:val="left"/>
      </w:pPr>
      <w:r>
        <w:rPr>
          <w:rFonts w:ascii="Times New Roman" w:hAnsi="Times New Roman"/>
          <w:b/>
          <w:color w:val="000000"/>
          <w:sz w:val="28"/>
        </w:rPr>
        <w:t>Premier axe : Présentation du projet</w:t>
      </w:r>
    </w:p>
    <w:p>
      <w:r>
        <w:rPr>
          <w:rFonts w:ascii="Times New Roman" w:hAnsi="Times New Roman"/>
          <w:b/>
          <w:sz w:val="24"/>
        </w:rPr>
        <w:t>1. L'idée de projet (solution proposée)</w:t>
      </w:r>
    </w:p>
    <w:p>
      <w:r>
        <w:rPr>
          <w:rFonts w:ascii="Times New Roman" w:hAnsi="Times New Roman"/>
          <w:b w:val="0"/>
          <w:i w:val="0"/>
          <w:sz w:val="24"/>
        </w:rPr>
        <w:t>Le projet Smart Healthy relève du domaine des applications modernes de santé numérique. Il s'agit d'une plateforme web de nutrition personnalisée principalement destinée aux personnes atteintes de maladies chroniques, notamment le diabète et la maladie cœliaque.</w:t>
      </w:r>
    </w:p>
    <w:p>
      <w:r>
        <w:rPr>
          <w:rFonts w:ascii="Times New Roman" w:hAnsi="Times New Roman"/>
          <w:b w:val="0"/>
          <w:i w:val="0"/>
          <w:sz w:val="24"/>
        </w:rPr>
        <w:t>Problématique : Les patients chroniques doivent surveiller leur alimentation en permanence, mais les informations pertinentes sont dispersées, techniques ou difficiles à exploiter au quotidien. Aucune solution numérique algérienne n'existe pour répondre à ce besoin spécifique.</w:t>
      </w:r>
    </w:p>
    <w:p>
      <w:r>
        <w:rPr>
          <w:rFonts w:ascii="Times New Roman" w:hAnsi="Times New Roman"/>
          <w:b w:val="0"/>
          <w:i w:val="0"/>
          <w:sz w:val="24"/>
        </w:rPr>
        <w:t>Solution : Une plateforme web qui centralise les informations nutritionnelles, filtre les produits selon leur compatibilité avec le profil du patient, propose des recettes adaptées et fournit des contenus éducatifs personnalisés. L'utilisateur crée son profil de santé (âge, poids, taille, pathologie, objectifs) et le système génère des recommandations en temps réel.</w:t>
      </w:r>
    </w:p>
    <w:p>
      <w:r>
        <w:rPr>
          <w:rFonts w:ascii="Times New Roman" w:hAnsi="Times New Roman"/>
          <w:b/>
          <w:sz w:val="24"/>
        </w:rPr>
        <w:t>2. Les valeurs proposées</w:t>
      </w:r>
    </w:p>
    <w:p>
      <w:r>
        <w:rPr>
          <w:rFonts w:ascii="Times New Roman" w:hAnsi="Times New Roman"/>
          <w:b w:val="0"/>
          <w:i w:val="0"/>
          <w:sz w:val="24"/>
        </w:rPr>
        <w:t>Modernité : Solution numérique intelligente répondant à un besoin croissant d'accompagnement nutritionnel personnalisé via la transformation digitale du secteur de la santé.</w:t>
      </w:r>
    </w:p>
    <w:p>
      <w:r>
        <w:rPr>
          <w:rFonts w:ascii="Times New Roman" w:hAnsi="Times New Roman"/>
          <w:b w:val="0"/>
          <w:i w:val="0"/>
          <w:sz w:val="24"/>
        </w:rPr>
        <w:t>Performance : Recommandations nutritionnelles fiables, rapides et cohérentes, sans recherches complexes.</w:t>
      </w:r>
    </w:p>
    <w:p>
      <w:r>
        <w:rPr>
          <w:rFonts w:ascii="Times New Roman" w:hAnsi="Times New Roman"/>
          <w:b w:val="0"/>
          <w:i w:val="0"/>
          <w:sz w:val="24"/>
        </w:rPr>
        <w:t>Flexibilité : Adaptation aux différents profils (diabétique, cœliaque, mode sain, végétarien) avec possibilité d'intégrer d'autres pathologies.</w:t>
      </w:r>
    </w:p>
    <w:p>
      <w:r>
        <w:rPr>
          <w:rFonts w:ascii="Times New Roman" w:hAnsi="Times New Roman"/>
          <w:b w:val="0"/>
          <w:i w:val="0"/>
          <w:sz w:val="24"/>
        </w:rPr>
        <w:t>Réduction des risques : Signalement des aliments incompatibles et sensibilisation aux bonnes pratiques — essentiel pour éviter les complications liées à une mauvaise alimentation.</w:t>
      </w:r>
    </w:p>
    <w:p>
      <w:r>
        <w:rPr>
          <w:rFonts w:ascii="Times New Roman" w:hAnsi="Times New Roman"/>
          <w:b w:val="0"/>
          <w:i w:val="0"/>
          <w:sz w:val="24"/>
        </w:rPr>
        <w:t>Facilité d'utilisation : Plateforme conçue pour une prise en main rapide, avec un parcours guidé, des filtres clairs et une navigation intuitive.</w:t>
      </w:r>
    </w:p>
    <w:p>
      <w:r>
        <w:rPr>
          <w:rFonts w:ascii="Times New Roman" w:hAnsi="Times New Roman"/>
          <w:b w:val="0"/>
          <w:i w:val="0"/>
          <w:sz w:val="24"/>
        </w:rPr>
        <w:t>Objectif stratégique : Smart Healthy vise à devenir une référence locale dans l'accompagnement nutritionnel numérique des patients chroniques en Algérie.</w:t>
      </w:r>
    </w:p>
    <w:p>
      <w:r>
        <w:rPr>
          <w:rFonts w:ascii="Times New Roman" w:hAnsi="Times New Roman"/>
          <w:b/>
          <w:sz w:val="24"/>
        </w:rPr>
        <w:t>3. Équipe de travail</w:t>
      </w:r>
    </w:p>
    <w:p>
      <w:r>
        <w:rPr>
          <w:rFonts w:ascii="Times New Roman" w:hAnsi="Times New Roman"/>
          <w:b w:val="0"/>
          <w:i w:val="0"/>
          <w:sz w:val="24"/>
        </w:rPr>
        <w:t>Le projet Smart Healthy a été réalisé individuellement par Mezouari Abdelkader, étudiant en Master 2 Systèmes d'Information Décisionnels (SID) à la Faculté de Technologie de l'Université Badji Mokhtar — Annaba.</w:t>
      </w:r>
    </w:p>
    <w:p>
      <w:r>
        <w:rPr>
          <w:rFonts w:ascii="Times New Roman" w:hAnsi="Times New Roman"/>
          <w:b/>
          <w:i w:val="0"/>
          <w:sz w:val="24"/>
        </w:rPr>
        <w:t>Encadrement :</w:t>
      </w:r>
    </w:p>
    <w:p>
      <w:r>
        <w:rPr>
          <w:rFonts w:ascii="Times New Roman" w:hAnsi="Times New Roman"/>
          <w:b w:val="0"/>
          <w:i w:val="0"/>
          <w:sz w:val="24"/>
        </w:rPr>
        <w:t>• Mme Dendani Nadjette (Professeure, encadrante principale) — Spécialiste en IA et Systèmes d'Aide à la Décision.</w:t>
      </w:r>
    </w:p>
    <w:p>
      <w:r>
        <w:rPr>
          <w:rFonts w:ascii="Times New Roman" w:hAnsi="Times New Roman"/>
          <w:b w:val="0"/>
          <w:i w:val="0"/>
          <w:sz w:val="24"/>
        </w:rPr>
        <w:t>• Mme Azizi Nabira (Professeure, co-encadrante) — Spécialiste en IA et Systèmes d'Aide à la Décision.</w:t>
      </w:r>
    </w:p>
    <w:p>
      <w:r>
        <w:rPr>
          <w:rFonts w:ascii="Times New Roman" w:hAnsi="Times New Roman"/>
          <w:b/>
          <w:sz w:val="24"/>
        </w:rPr>
        <w:t>4. Objectifs du projet</w:t>
      </w:r>
    </w:p>
    <w:p>
      <w:r>
        <w:rPr>
          <w:rFonts w:ascii="Times New Roman" w:hAnsi="Times New Roman"/>
          <w:b w:val="0"/>
          <w:i w:val="0"/>
          <w:sz w:val="24"/>
        </w:rPr>
        <w:t>Objectif principal : Développer une plateforme numérique de nutrition personnalisée pour les patients atteints de maladies chroniques (diabète, maladie cœliaque) afin de les aider à mieux gérer leur alimentation au quotidien.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Horizon</w:t>
            </w:r>
          </w:p>
        </w:tc>
        <w:tc>
          <w:tcPr>
            <w:tcW w:type="dxa" w:w="3135"/>
            <w:shd w:fill="D9E2F3"/>
          </w:tcPr>
          <w:p>
            <w:pPr>
              <w:jc w:val="center"/>
            </w:pPr>
            <w:r/>
            <w:r>
              <w:rPr>
                <w:rFonts w:ascii="Times New Roman" w:hAnsi="Times New Roman"/>
                <w:b/>
                <w:sz w:val="20"/>
              </w:rPr>
              <w:t>Objectif</w:t>
            </w:r>
          </w:p>
        </w:tc>
        <w:tc>
          <w:tcPr>
            <w:tcW w:type="dxa" w:w="3135"/>
            <w:shd w:fill="D9E2F3"/>
          </w:tcPr>
          <w:p>
            <w:pPr>
              <w:jc w:val="center"/>
            </w:pPr>
            <w:r/>
            <w:r>
              <w:rPr>
                <w:rFonts w:ascii="Times New Roman" w:hAnsi="Times New Roman"/>
                <w:b/>
                <w:sz w:val="20"/>
              </w:rPr>
              <w:t>Part de marché</w:t>
            </w:r>
          </w:p>
        </w:tc>
      </w:tr>
      <w:tr>
        <w:tc>
          <w:tcPr>
            <w:tcW w:type="dxa" w:w="3135"/>
          </w:tcPr>
          <w:p>
            <w:r/>
            <w:r>
              <w:rPr>
                <w:rFonts w:ascii="Times New Roman" w:hAnsi="Times New Roman"/>
                <w:sz w:val="20"/>
              </w:rPr>
              <w:t>Court terme (N)</w:t>
            </w:r>
          </w:p>
        </w:tc>
        <w:tc>
          <w:tcPr>
            <w:tcW w:type="dxa" w:w="3135"/>
          </w:tcPr>
          <w:p>
            <w:r/>
            <w:r>
              <w:rPr>
                <w:rFonts w:ascii="Times New Roman" w:hAnsi="Times New Roman"/>
                <w:sz w:val="20"/>
              </w:rPr>
              <w:t>Version fonctionnelle, premiers utilisateurs (niche locale)</w:t>
            </w:r>
          </w:p>
        </w:tc>
        <w:tc>
          <w:tcPr>
            <w:tcW w:type="dxa" w:w="3135"/>
          </w:tcPr>
          <w:p>
            <w:r/>
            <w:r>
              <w:rPr>
                <w:rFonts w:ascii="Times New Roman" w:hAnsi="Times New Roman"/>
                <w:sz w:val="20"/>
              </w:rPr>
              <w:t>1 à 3 %</w:t>
            </w:r>
          </w:p>
        </w:tc>
      </w:tr>
      <w:tr>
        <w:tc>
          <w:tcPr>
            <w:tcW w:type="dxa" w:w="3135"/>
          </w:tcPr>
          <w:p>
            <w:r/>
            <w:r>
              <w:rPr>
                <w:rFonts w:ascii="Times New Roman" w:hAnsi="Times New Roman"/>
                <w:sz w:val="20"/>
              </w:rPr>
              <w:t>Moyen terme (N+2/N+3)</w:t>
            </w:r>
          </w:p>
        </w:tc>
        <w:tc>
          <w:tcPr>
            <w:tcW w:type="dxa" w:w="3135"/>
          </w:tcPr>
          <w:p>
            <w:r/>
            <w:r>
              <w:rPr>
                <w:rFonts w:ascii="Times New Roman" w:hAnsi="Times New Roman"/>
                <w:sz w:val="20"/>
              </w:rPr>
              <w:t>Élargissement base utilisateurs, enrichissement catalogue</w:t>
            </w:r>
          </w:p>
        </w:tc>
        <w:tc>
          <w:tcPr>
            <w:tcW w:type="dxa" w:w="3135"/>
          </w:tcPr>
          <w:p>
            <w:r/>
            <w:r>
              <w:rPr>
                <w:rFonts w:ascii="Times New Roman" w:hAnsi="Times New Roman"/>
                <w:sz w:val="20"/>
              </w:rPr>
              <w:t>5 à 10 %</w:t>
            </w:r>
          </w:p>
        </w:tc>
      </w:tr>
      <w:tr>
        <w:tc>
          <w:tcPr>
            <w:tcW w:type="dxa" w:w="3135"/>
          </w:tcPr>
          <w:p>
            <w:r/>
            <w:r>
              <w:rPr>
                <w:rFonts w:ascii="Times New Roman" w:hAnsi="Times New Roman"/>
                <w:sz w:val="20"/>
              </w:rPr>
              <w:t>Long terme (N+5)</w:t>
            </w:r>
          </w:p>
        </w:tc>
        <w:tc>
          <w:tcPr>
            <w:tcW w:type="dxa" w:w="3135"/>
          </w:tcPr>
          <w:p>
            <w:r/>
            <w:r>
              <w:rPr>
                <w:rFonts w:ascii="Times New Roman" w:hAnsi="Times New Roman"/>
                <w:sz w:val="20"/>
              </w:rPr>
              <w:t>Référence régionale en nutrition numérique personnalisée</w:t>
            </w:r>
          </w:p>
        </w:tc>
        <w:tc>
          <w:tcPr>
            <w:tcW w:type="dxa" w:w="3135"/>
          </w:tcPr>
          <w:p>
            <w:r/>
            <w:r>
              <w:rPr>
                <w:rFonts w:ascii="Times New Roman" w:hAnsi="Times New Roman"/>
                <w:sz w:val="20"/>
              </w:rPr>
              <w:t>10 à 15 %</w:t>
            </w:r>
          </w:p>
        </w:tc>
      </w:tr>
    </w:tbl>
    <w:p>
      <w:r>
        <w:rPr>
          <w:rFonts w:ascii="Times New Roman" w:hAnsi="Times New Roman"/>
          <w:b/>
          <w:sz w:val="24"/>
        </w:rPr>
        <w:t>5. Calendrier de réalisation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2F3"/>
          </w:tcPr>
          <w:p>
            <w:pPr>
              <w:jc w:val="center"/>
            </w:pPr>
            <w:r/>
            <w:r>
              <w:rPr>
                <w:rFonts w:ascii="Times New Roman" w:hAnsi="Times New Roman"/>
                <w:b/>
                <w:sz w:val="20"/>
              </w:rPr>
              <w:t>Phase</w:t>
            </w:r>
          </w:p>
        </w:tc>
        <w:tc>
          <w:tcPr>
            <w:tcW w:type="dxa" w:w="1176"/>
            <w:shd w:fill="D9E2F3"/>
          </w:tcPr>
          <w:p>
            <w:pPr>
              <w:jc w:val="center"/>
            </w:pPr>
            <w:r/>
            <w:r>
              <w:rPr>
                <w:rFonts w:ascii="Times New Roman" w:hAnsi="Times New Roman"/>
                <w:b/>
                <w:sz w:val="20"/>
              </w:rPr>
              <w:t>Travaux</w:t>
            </w:r>
          </w:p>
        </w:tc>
        <w:tc>
          <w:tcPr>
            <w:tcW w:type="dxa" w:w="1176"/>
            <w:shd w:fill="D9E2F3"/>
          </w:tcPr>
          <w:p>
            <w:pPr>
              <w:jc w:val="center"/>
            </w:pPr>
            <w:r/>
            <w:r>
              <w:rPr>
                <w:rFonts w:ascii="Times New Roman" w:hAnsi="Times New Roman"/>
                <w:b/>
                <w:sz w:val="20"/>
              </w:rPr>
              <w:t>M1</w:t>
            </w:r>
          </w:p>
        </w:tc>
        <w:tc>
          <w:tcPr>
            <w:tcW w:type="dxa" w:w="1176"/>
            <w:shd w:fill="D9E2F3"/>
          </w:tcPr>
          <w:p>
            <w:pPr>
              <w:jc w:val="center"/>
            </w:pPr>
            <w:r/>
            <w:r>
              <w:rPr>
                <w:rFonts w:ascii="Times New Roman" w:hAnsi="Times New Roman"/>
                <w:b/>
                <w:sz w:val="20"/>
              </w:rPr>
              <w:t>M2</w:t>
            </w:r>
          </w:p>
        </w:tc>
        <w:tc>
          <w:tcPr>
            <w:tcW w:type="dxa" w:w="1176"/>
            <w:shd w:fill="D9E2F3"/>
          </w:tcPr>
          <w:p>
            <w:pPr>
              <w:jc w:val="center"/>
            </w:pPr>
            <w:r/>
            <w:r>
              <w:rPr>
                <w:rFonts w:ascii="Times New Roman" w:hAnsi="Times New Roman"/>
                <w:b/>
                <w:sz w:val="20"/>
              </w:rPr>
              <w:t>M3</w:t>
            </w:r>
          </w:p>
        </w:tc>
        <w:tc>
          <w:tcPr>
            <w:tcW w:type="dxa" w:w="1176"/>
            <w:shd w:fill="D9E2F3"/>
          </w:tcPr>
          <w:p>
            <w:pPr>
              <w:jc w:val="center"/>
            </w:pPr>
            <w:r/>
            <w:r>
              <w:rPr>
                <w:rFonts w:ascii="Times New Roman" w:hAnsi="Times New Roman"/>
                <w:b/>
                <w:sz w:val="20"/>
              </w:rPr>
              <w:t>M4</w:t>
            </w:r>
          </w:p>
        </w:tc>
        <w:tc>
          <w:tcPr>
            <w:tcW w:type="dxa" w:w="1176"/>
            <w:shd w:fill="D9E2F3"/>
          </w:tcPr>
          <w:p>
            <w:pPr>
              <w:jc w:val="center"/>
            </w:pPr>
            <w:r/>
            <w:r>
              <w:rPr>
                <w:rFonts w:ascii="Times New Roman" w:hAnsi="Times New Roman"/>
                <w:b/>
                <w:sz w:val="20"/>
              </w:rPr>
              <w:t>M5</w:t>
            </w:r>
          </w:p>
        </w:tc>
        <w:tc>
          <w:tcPr>
            <w:tcW w:type="dxa" w:w="1176"/>
            <w:shd w:fill="D9E2F3"/>
          </w:tcPr>
          <w:p>
            <w:pPr>
              <w:jc w:val="center"/>
            </w:pPr>
            <w:r/>
            <w:r>
              <w:rPr>
                <w:rFonts w:ascii="Times New Roman" w:hAnsi="Times New Roman"/>
                <w:b/>
                <w:sz w:val="20"/>
              </w:rPr>
              <w:t>M6</w:t>
            </w:r>
          </w:p>
        </w:tc>
      </w:tr>
      <w:tr>
        <w:tc>
          <w:tcPr>
            <w:tcW w:type="dxa" w:w="1176"/>
          </w:tcPr>
          <w:p>
            <w:r/>
            <w:r>
              <w:rPr>
                <w:rFonts w:ascii="Times New Roman" w:hAnsi="Times New Roman"/>
                <w:sz w:val="20"/>
              </w:rPr>
              <w:t>1</w:t>
            </w:r>
          </w:p>
        </w:tc>
        <w:tc>
          <w:tcPr>
            <w:tcW w:type="dxa" w:w="1176"/>
          </w:tcPr>
          <w:p>
            <w:r/>
            <w:r>
              <w:rPr>
                <w:rFonts w:ascii="Times New Roman" w:hAnsi="Times New Roman"/>
                <w:sz w:val="20"/>
              </w:rPr>
              <w:t>Conception &amp; analyse des besoins</w:t>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2</w:t>
            </w:r>
          </w:p>
        </w:tc>
        <w:tc>
          <w:tcPr>
            <w:tcW w:type="dxa" w:w="1176"/>
          </w:tcPr>
          <w:p>
            <w:r/>
            <w:r>
              <w:rPr>
                <w:rFonts w:ascii="Times New Roman" w:hAnsi="Times New Roman"/>
                <w:sz w:val="20"/>
              </w:rPr>
              <w:t>Développement backend (Supabase, RLS, 18 tables)</w:t>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3</w:t>
            </w:r>
          </w:p>
        </w:tc>
        <w:tc>
          <w:tcPr>
            <w:tcW w:type="dxa" w:w="1176"/>
          </w:tcPr>
          <w:p>
            <w:r/>
            <w:r>
              <w:rPr>
                <w:rFonts w:ascii="Times New Roman" w:hAnsi="Times New Roman"/>
                <w:sz w:val="20"/>
              </w:rPr>
              <w:t>Développement frontend (Next.js 16, React 19)</w:t>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4</w:t>
            </w:r>
          </w:p>
        </w:tc>
        <w:tc>
          <w:tcPr>
            <w:tcW w:type="dxa" w:w="1176"/>
          </w:tcPr>
          <w:p>
            <w:r/>
            <w:r>
              <w:rPr>
                <w:rFonts w:ascii="Times New Roman" w:hAnsi="Times New Roman"/>
                <w:sz w:val="20"/>
              </w:rPr>
              <w:t>Intégration du moteur de scoring nutritionnel</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5</w:t>
            </w:r>
          </w:p>
        </w:tc>
        <w:tc>
          <w:tcPr>
            <w:tcW w:type="dxa" w:w="1176"/>
          </w:tcPr>
          <w:p>
            <w:r/>
            <w:r>
              <w:rPr>
                <w:rFonts w:ascii="Times New Roman" w:hAnsi="Times New Roman"/>
                <w:sz w:val="20"/>
              </w:rPr>
              <w:t>Module partenaire (catalogue, CSV, géolocalisation)</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r>
          </w:p>
        </w:tc>
      </w:tr>
      <w:tr>
        <w:tc>
          <w:tcPr>
            <w:tcW w:type="dxa" w:w="1176"/>
          </w:tcPr>
          <w:p>
            <w:r/>
            <w:r>
              <w:rPr>
                <w:rFonts w:ascii="Times New Roman" w:hAnsi="Times New Roman"/>
                <w:sz w:val="20"/>
              </w:rPr>
              <w:t>6</w:t>
            </w:r>
          </w:p>
        </w:tc>
        <w:tc>
          <w:tcPr>
            <w:tcW w:type="dxa" w:w="1176"/>
          </w:tcPr>
          <w:p>
            <w:r/>
            <w:r>
              <w:rPr>
                <w:rFonts w:ascii="Times New Roman" w:hAnsi="Times New Roman"/>
                <w:sz w:val="20"/>
              </w:rPr>
              <w:t>Tests, déploiement et préparation soutenance</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r>
    </w:tbl>
    <w:p>
      <w:r>
        <w:br w:type="page"/>
      </w:r>
    </w:p>
    <w:p>
      <w:pPr>
        <w:jc w:val="left"/>
      </w:pPr>
      <w:r>
        <w:rPr>
          <w:rFonts w:ascii="Times New Roman" w:hAnsi="Times New Roman"/>
          <w:b/>
          <w:color w:val="000000"/>
          <w:sz w:val="28"/>
        </w:rPr>
        <w:t>Deuxième axe : Aspects innovants</w:t>
      </w:r>
    </w:p>
    <w:p>
      <w:r>
        <w:rPr>
          <w:rFonts w:ascii="Times New Roman" w:hAnsi="Times New Roman"/>
          <w:b/>
          <w:sz w:val="24"/>
        </w:rPr>
        <w:t>1. Nature des innovations</w:t>
      </w:r>
    </w:p>
    <w:p>
      <w:r>
        <w:rPr>
          <w:rFonts w:ascii="Times New Roman" w:hAnsi="Times New Roman"/>
          <w:b w:val="0"/>
          <w:i w:val="0"/>
          <w:sz w:val="24"/>
        </w:rPr>
        <w:t>Smart Healthy se distingue par quatre types d'innovation :</w:t>
      </w:r>
    </w:p>
    <w:p>
      <w:r>
        <w:rPr>
          <w:rFonts w:ascii="Times New Roman" w:hAnsi="Times New Roman"/>
          <w:b w:val="0"/>
          <w:i w:val="0"/>
          <w:sz w:val="24"/>
        </w:rPr>
        <w:t>• Innovation de service : Accompagnement nutritionnel personnalisé basé sur l'état de santé de l'utilisateur. La plateforme adapte produits, recettes et informations aux besoins spécifiques du patient.</w:t>
      </w:r>
    </w:p>
    <w:p>
      <w:r>
        <w:rPr>
          <w:rFonts w:ascii="Times New Roman" w:hAnsi="Times New Roman"/>
          <w:b w:val="0"/>
          <w:i w:val="0"/>
          <w:sz w:val="24"/>
        </w:rPr>
        <w:t>• Innovation d'usage : Simplification du choix alimentaire grâce à une expérience numérique structurée — guidage des décisions quotidiennes, centralisation de l'information.</w:t>
      </w:r>
    </w:p>
    <w:p>
      <w:r>
        <w:rPr>
          <w:rFonts w:ascii="Times New Roman" w:hAnsi="Times New Roman"/>
          <w:b w:val="0"/>
          <w:i w:val="0"/>
          <w:sz w:val="24"/>
        </w:rPr>
        <w:t>• Innovation fonctionnelle : Regroupement dans une seule solution de services habituellement dispersés : catalogue produits, recettes, apprentissage nutritionnel, compatibilité médicale.</w:t>
      </w:r>
    </w:p>
    <w:p>
      <w:r>
        <w:rPr>
          <w:rFonts w:ascii="Times New Roman" w:hAnsi="Times New Roman"/>
          <w:b w:val="0"/>
          <w:i w:val="0"/>
          <w:sz w:val="24"/>
        </w:rPr>
        <w:t>• Innovation contextuelle : Adaptation de la nutrition numérique personnalisée au contexte algérien où ce type d'outil reste rare sous une forme ciblée et accessible.</w:t>
      </w:r>
    </w:p>
    <w:p>
      <w:r>
        <w:rPr>
          <w:rFonts w:ascii="Times New Roman" w:hAnsi="Times New Roman"/>
          <w:b/>
          <w:sz w:val="24"/>
        </w:rPr>
        <w:t>2. Domaines d'innovation</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Domaine</w:t>
            </w:r>
          </w:p>
        </w:tc>
        <w:tc>
          <w:tcPr>
            <w:tcW w:type="dxa" w:w="4703"/>
            <w:shd w:fill="D9E2F3"/>
          </w:tcPr>
          <w:p>
            <w:pPr>
              <w:jc w:val="center"/>
            </w:pPr>
            <w:r/>
            <w:r>
              <w:rPr>
                <w:rFonts w:ascii="Times New Roman" w:hAnsi="Times New Roman"/>
                <w:b/>
                <w:sz w:val="20"/>
              </w:rPr>
              <w:t>Apport de Smart Healthy</w:t>
            </w:r>
          </w:p>
        </w:tc>
      </w:tr>
      <w:tr>
        <w:tc>
          <w:tcPr>
            <w:tcW w:type="dxa" w:w="4703"/>
          </w:tcPr>
          <w:p>
            <w:r/>
            <w:r>
              <w:rPr>
                <w:rFonts w:ascii="Times New Roman" w:hAnsi="Times New Roman"/>
                <w:sz w:val="20"/>
              </w:rPr>
              <w:t>Nouveaux processus</w:t>
            </w:r>
          </w:p>
        </w:tc>
        <w:tc>
          <w:tcPr>
            <w:tcW w:type="dxa" w:w="4703"/>
          </w:tcPr>
          <w:p>
            <w:r/>
            <w:r>
              <w:rPr>
                <w:rFonts w:ascii="Times New Roman" w:hAnsi="Times New Roman"/>
                <w:sz w:val="20"/>
              </w:rPr>
              <w:t>Moteur de scoring nutritionnel intelligent (IG, Nutri-Score, compatibilité pathologique)</w:t>
            </w:r>
          </w:p>
        </w:tc>
      </w:tr>
      <w:tr>
        <w:tc>
          <w:tcPr>
            <w:tcW w:type="dxa" w:w="4703"/>
          </w:tcPr>
          <w:p>
            <w:r/>
            <w:r>
              <w:rPr>
                <w:rFonts w:ascii="Times New Roman" w:hAnsi="Times New Roman"/>
                <w:sz w:val="20"/>
              </w:rPr>
              <w:t>Nouvelles fonctionnalités</w:t>
            </w:r>
          </w:p>
        </w:tc>
        <w:tc>
          <w:tcPr>
            <w:tcW w:type="dxa" w:w="4703"/>
          </w:tcPr>
          <w:p>
            <w:r/>
            <w:r>
              <w:rPr>
                <w:rFonts w:ascii="Times New Roman" w:hAnsi="Times New Roman"/>
                <w:sz w:val="20"/>
              </w:rPr>
              <w:t>Recommandations personnalisées selon critères multiples (sucres, fibres, gluten, sodium)</w:t>
            </w:r>
          </w:p>
        </w:tc>
      </w:tr>
      <w:tr>
        <w:tc>
          <w:tcPr>
            <w:tcW w:type="dxa" w:w="4703"/>
          </w:tcPr>
          <w:p>
            <w:r/>
            <w:r>
              <w:rPr>
                <w:rFonts w:ascii="Times New Roman" w:hAnsi="Times New Roman"/>
                <w:sz w:val="20"/>
              </w:rPr>
              <w:t>Nouveaux clients</w:t>
            </w:r>
          </w:p>
        </w:tc>
        <w:tc>
          <w:tcPr>
            <w:tcW w:type="dxa" w:w="4703"/>
          </w:tcPr>
          <w:p>
            <w:r/>
            <w:r>
              <w:rPr>
                <w:rFonts w:ascii="Times New Roman" w:hAnsi="Times New Roman"/>
                <w:sz w:val="20"/>
              </w:rPr>
              <w:t>Patients chroniques algériens (diabétiques et cœliaques) sans outil adapté au contexte local</w:t>
            </w:r>
          </w:p>
        </w:tc>
      </w:tr>
      <w:tr>
        <w:tc>
          <w:tcPr>
            <w:tcW w:type="dxa" w:w="4703"/>
          </w:tcPr>
          <w:p>
            <w:r/>
            <w:r>
              <w:rPr>
                <w:rFonts w:ascii="Times New Roman" w:hAnsi="Times New Roman"/>
                <w:sz w:val="20"/>
              </w:rPr>
              <w:t>Nouvelles offres</w:t>
            </w:r>
          </w:p>
        </w:tc>
        <w:tc>
          <w:tcPr>
            <w:tcW w:type="dxa" w:w="4703"/>
          </w:tcPr>
          <w:p>
            <w:r/>
            <w:r>
              <w:rPr>
                <w:rFonts w:ascii="Times New Roman" w:hAnsi="Times New Roman"/>
                <w:sz w:val="20"/>
              </w:rPr>
              <w:t>Catalogue produits algériens + recettes + éducation + géolocalisation</w:t>
            </w:r>
          </w:p>
        </w:tc>
      </w:tr>
      <w:tr>
        <w:tc>
          <w:tcPr>
            <w:tcW w:type="dxa" w:w="4703"/>
          </w:tcPr>
          <w:p>
            <w:r/>
            <w:r>
              <w:rPr>
                <w:rFonts w:ascii="Times New Roman" w:hAnsi="Times New Roman"/>
                <w:sz w:val="20"/>
              </w:rPr>
              <w:t>Nouveaux modèles</w:t>
            </w:r>
          </w:p>
        </w:tc>
        <w:tc>
          <w:tcPr>
            <w:tcW w:type="dxa" w:w="4703"/>
          </w:tcPr>
          <w:p>
            <w:r/>
            <w:r>
              <w:rPr>
                <w:rFonts w:ascii="Times New Roman" w:hAnsi="Times New Roman"/>
                <w:sz w:val="20"/>
              </w:rPr>
              <w:t>Modèle B2C/B2B hybride : abonnements premium, partenaires et licences professionnelles</w:t>
            </w:r>
          </w:p>
        </w:tc>
      </w:tr>
    </w:tbl>
    <w:p>
      <w:r>
        <w:br w:type="page"/>
      </w:r>
    </w:p>
    <w:p>
      <w:pPr>
        <w:jc w:val="left"/>
      </w:pPr>
      <w:r>
        <w:rPr>
          <w:rFonts w:ascii="Times New Roman" w:hAnsi="Times New Roman"/>
          <w:b/>
          <w:color w:val="000000"/>
          <w:sz w:val="28"/>
        </w:rPr>
        <w:t>Troisième axe : Analyse stratégique du marché</w:t>
      </w:r>
    </w:p>
    <w:p>
      <w:r>
        <w:rPr>
          <w:rFonts w:ascii="Times New Roman" w:hAnsi="Times New Roman"/>
          <w:b/>
          <w:sz w:val="24"/>
        </w:rPr>
        <w:t>1. Segment du marché</w:t>
      </w:r>
    </w:p>
    <w:p>
      <w:r>
        <w:rPr>
          <w:rFonts w:ascii="Times New Roman" w:hAnsi="Times New Roman"/>
          <w:b w:val="0"/>
          <w:i w:val="0"/>
          <w:sz w:val="24"/>
        </w:rPr>
        <w:t>Marché potentiel : Toute personne souhaitant améliorer son alimentation ou gérer une contrainte de santé en Algérie.</w:t>
      </w:r>
    </w:p>
    <w:p>
      <w:r>
        <w:rPr>
          <w:rFonts w:ascii="Times New Roman" w:hAnsi="Times New Roman"/>
          <w:b w:val="0"/>
          <w:i w:val="0"/>
          <w:sz w:val="24"/>
        </w:rPr>
        <w:t>Marché cible : Patients diabétiques et cœliaques, leurs proches, les professionnels de santé, et les commerces spécialisés. Ce segment compte plusieurs millions de personnes en Algérie dont les besoins spécifiques ne sont pas couverts par les outils numériques actuels.</w:t>
      </w:r>
    </w:p>
    <w:p>
      <w:r>
        <w:rPr>
          <w:rFonts w:ascii="Times New Roman" w:hAnsi="Times New Roman"/>
          <w:b/>
          <w:i w:val="0"/>
          <w:sz w:val="24"/>
        </w:rPr>
        <w:t>Contrats d'achat possibles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Client</w:t>
            </w:r>
          </w:p>
        </w:tc>
        <w:tc>
          <w:tcPr>
            <w:tcW w:type="dxa" w:w="3135"/>
            <w:shd w:fill="D9E2F3"/>
          </w:tcPr>
          <w:p>
            <w:pPr>
              <w:jc w:val="center"/>
            </w:pPr>
            <w:r/>
            <w:r>
              <w:rPr>
                <w:rFonts w:ascii="Times New Roman" w:hAnsi="Times New Roman"/>
                <w:b/>
                <w:sz w:val="20"/>
              </w:rPr>
              <w:t>Probabilité</w:t>
            </w:r>
          </w:p>
        </w:tc>
        <w:tc>
          <w:tcPr>
            <w:tcW w:type="dxa" w:w="3135"/>
            <w:shd w:fill="D9E2F3"/>
          </w:tcPr>
          <w:p>
            <w:pPr>
              <w:jc w:val="center"/>
            </w:pPr>
            <w:r/>
            <w:r>
              <w:rPr>
                <w:rFonts w:ascii="Times New Roman" w:hAnsi="Times New Roman"/>
                <w:b/>
                <w:sz w:val="20"/>
              </w:rPr>
              <w:t>Approche</w:t>
            </w:r>
          </w:p>
        </w:tc>
      </w:tr>
      <w:tr>
        <w:tc>
          <w:tcPr>
            <w:tcW w:type="dxa" w:w="3135"/>
          </w:tcPr>
          <w:p>
            <w:r/>
            <w:r>
              <w:rPr>
                <w:rFonts w:ascii="Times New Roman" w:hAnsi="Times New Roman"/>
                <w:sz w:val="20"/>
              </w:rPr>
              <w:t>Magasins diététiques (Bio Santé Store)</w:t>
            </w:r>
          </w:p>
        </w:tc>
        <w:tc>
          <w:tcPr>
            <w:tcW w:type="dxa" w:w="3135"/>
          </w:tcPr>
          <w:p>
            <w:r/>
            <w:r>
              <w:rPr>
                <w:rFonts w:ascii="Times New Roman" w:hAnsi="Times New Roman"/>
                <w:sz w:val="20"/>
              </w:rPr>
              <w:t>Très élevée (85%)</w:t>
            </w:r>
          </w:p>
        </w:tc>
        <w:tc>
          <w:tcPr>
            <w:tcW w:type="dxa" w:w="3135"/>
          </w:tcPr>
          <w:p>
            <w:r/>
            <w:r>
              <w:rPr>
                <w:rFonts w:ascii="Times New Roman" w:hAnsi="Times New Roman"/>
                <w:sz w:val="20"/>
              </w:rPr>
              <w:t>Essai gratuit 3 mois</w:t>
            </w:r>
          </w:p>
        </w:tc>
      </w:tr>
      <w:tr>
        <w:tc>
          <w:tcPr>
            <w:tcW w:type="dxa" w:w="3135"/>
          </w:tcPr>
          <w:p>
            <w:r/>
            <w:r>
              <w:rPr>
                <w:rFonts w:ascii="Times New Roman" w:hAnsi="Times New Roman"/>
                <w:sz w:val="20"/>
              </w:rPr>
              <w:t>Grande distribution (UNO, Ardis)</w:t>
            </w:r>
          </w:p>
        </w:tc>
        <w:tc>
          <w:tcPr>
            <w:tcW w:type="dxa" w:w="3135"/>
          </w:tcPr>
          <w:p>
            <w:r/>
            <w:r>
              <w:rPr>
                <w:rFonts w:ascii="Times New Roman" w:hAnsi="Times New Roman"/>
                <w:sz w:val="20"/>
              </w:rPr>
              <w:t>Élevée (65-70%)</w:t>
            </w:r>
          </w:p>
        </w:tc>
        <w:tc>
          <w:tcPr>
            <w:tcW w:type="dxa" w:w="3135"/>
          </w:tcPr>
          <w:p>
            <w:r/>
            <w:r>
              <w:rPr>
                <w:rFonts w:ascii="Times New Roman" w:hAnsi="Times New Roman"/>
                <w:sz w:val="20"/>
              </w:rPr>
              <w:t>Projet pilote requis</w:t>
            </w:r>
          </w:p>
        </w:tc>
      </w:tr>
      <w:tr>
        <w:tc>
          <w:tcPr>
            <w:tcW w:type="dxa" w:w="3135"/>
          </w:tcPr>
          <w:p>
            <w:r/>
            <w:r>
              <w:rPr>
                <w:rFonts w:ascii="Times New Roman" w:hAnsi="Times New Roman"/>
                <w:sz w:val="20"/>
              </w:rPr>
              <w:t>Pharmacies d'officine</w:t>
            </w:r>
          </w:p>
        </w:tc>
        <w:tc>
          <w:tcPr>
            <w:tcW w:type="dxa" w:w="3135"/>
          </w:tcPr>
          <w:p>
            <w:r/>
            <w:r>
              <w:rPr>
                <w:rFonts w:ascii="Times New Roman" w:hAnsi="Times New Roman"/>
                <w:sz w:val="20"/>
              </w:rPr>
              <w:t>Moyenne à élevée (55%)</w:t>
            </w:r>
          </w:p>
        </w:tc>
        <w:tc>
          <w:tcPr>
            <w:tcW w:type="dxa" w:w="3135"/>
          </w:tcPr>
          <w:p>
            <w:r/>
            <w:r>
              <w:rPr>
                <w:rFonts w:ascii="Times New Roman" w:hAnsi="Times New Roman"/>
                <w:sz w:val="20"/>
              </w:rPr>
              <w:t>QR codes discrets</w:t>
            </w:r>
          </w:p>
        </w:tc>
      </w:tr>
      <w:tr>
        <w:tc>
          <w:tcPr>
            <w:tcW w:type="dxa" w:w="3135"/>
          </w:tcPr>
          <w:p>
            <w:r/>
            <w:r>
              <w:rPr>
                <w:rFonts w:ascii="Times New Roman" w:hAnsi="Times New Roman"/>
                <w:sz w:val="20"/>
              </w:rPr>
              <w:t>Professionnels de santé</w:t>
            </w:r>
          </w:p>
        </w:tc>
        <w:tc>
          <w:tcPr>
            <w:tcW w:type="dxa" w:w="3135"/>
          </w:tcPr>
          <w:p>
            <w:r/>
            <w:r>
              <w:rPr>
                <w:rFonts w:ascii="Times New Roman" w:hAnsi="Times New Roman"/>
                <w:sz w:val="20"/>
              </w:rPr>
              <w:t>Élevée</w:t>
            </w:r>
          </w:p>
        </w:tc>
        <w:tc>
          <w:tcPr>
            <w:tcW w:type="dxa" w:w="3135"/>
          </w:tcPr>
          <w:p>
            <w:r/>
            <w:r>
              <w:rPr>
                <w:rFonts w:ascii="Times New Roman" w:hAnsi="Times New Roman"/>
                <w:sz w:val="20"/>
              </w:rPr>
              <w:t>Abonnements pros fonctionnalités avancées</w:t>
            </w:r>
          </w:p>
        </w:tc>
      </w:tr>
    </w:tbl>
    <w:p>
      <w:r>
        <w:rPr>
          <w:rFonts w:ascii="Times New Roman" w:hAnsi="Times New Roman"/>
          <w:b/>
          <w:sz w:val="24"/>
        </w:rPr>
        <w:t>2. Intensité de la concurrence</w:t>
      </w:r>
    </w:p>
    <w:p>
      <w:r>
        <w:rPr>
          <w:rFonts w:ascii="Times New Roman" w:hAnsi="Times New Roman"/>
          <w:b w:val="0"/>
          <w:i w:val="0"/>
          <w:sz w:val="24"/>
        </w:rPr>
        <w:t>L'intensité concurrentielle sur le segment « nutrition personnalisée » en Algérie est paradoxale : la concurrence directe est quasi inexistante. Smart Healthy occupe un espace vacant.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0"/>
              </w:rPr>
              <w:t>Concurrent</w:t>
            </w:r>
          </w:p>
        </w:tc>
        <w:tc>
          <w:tcPr>
            <w:tcW w:type="dxa" w:w="2351"/>
            <w:shd w:fill="D9E2F3"/>
          </w:tcPr>
          <w:p>
            <w:pPr>
              <w:jc w:val="center"/>
            </w:pPr>
            <w:r/>
            <w:r>
              <w:rPr>
                <w:rFonts w:ascii="Times New Roman" w:hAnsi="Times New Roman"/>
                <w:b/>
                <w:sz w:val="20"/>
              </w:rPr>
              <w:t>Type</w:t>
            </w:r>
          </w:p>
        </w:tc>
        <w:tc>
          <w:tcPr>
            <w:tcW w:type="dxa" w:w="2351"/>
            <w:shd w:fill="D9E2F3"/>
          </w:tcPr>
          <w:p>
            <w:pPr>
              <w:jc w:val="center"/>
            </w:pPr>
            <w:r/>
            <w:r>
              <w:rPr>
                <w:rFonts w:ascii="Times New Roman" w:hAnsi="Times New Roman"/>
                <w:b/>
                <w:sz w:val="20"/>
              </w:rPr>
              <w:t>Forces</w:t>
            </w:r>
          </w:p>
        </w:tc>
        <w:tc>
          <w:tcPr>
            <w:tcW w:type="dxa" w:w="2351"/>
            <w:shd w:fill="D9E2F3"/>
          </w:tcPr>
          <w:p>
            <w:pPr>
              <w:jc w:val="center"/>
            </w:pPr>
            <w:r/>
            <w:r>
              <w:rPr>
                <w:rFonts w:ascii="Times New Roman" w:hAnsi="Times New Roman"/>
                <w:b/>
                <w:sz w:val="20"/>
              </w:rPr>
              <w:t>Faiblesses</w:t>
            </w:r>
          </w:p>
        </w:tc>
      </w:tr>
      <w:tr>
        <w:tc>
          <w:tcPr>
            <w:tcW w:type="dxa" w:w="2351"/>
          </w:tcPr>
          <w:p>
            <w:r/>
            <w:r>
              <w:rPr>
                <w:rFonts w:ascii="Times New Roman" w:hAnsi="Times New Roman"/>
                <w:sz w:val="20"/>
              </w:rPr>
              <w:t>Yuka</w:t>
            </w:r>
          </w:p>
        </w:tc>
        <w:tc>
          <w:tcPr>
            <w:tcW w:type="dxa" w:w="2351"/>
          </w:tcPr>
          <w:p>
            <w:r/>
            <w:r>
              <w:rPr>
                <w:rFonts w:ascii="Times New Roman" w:hAnsi="Times New Roman"/>
                <w:sz w:val="20"/>
              </w:rPr>
              <w:t>International (scan produits)</w:t>
            </w:r>
          </w:p>
        </w:tc>
        <w:tc>
          <w:tcPr>
            <w:tcW w:type="dxa" w:w="2351"/>
          </w:tcPr>
          <w:p>
            <w:r/>
            <w:r>
              <w:rPr>
                <w:rFonts w:ascii="Times New Roman" w:hAnsi="Times New Roman"/>
                <w:sz w:val="20"/>
              </w:rPr>
              <w:t>Notoriété mondiale</w:t>
            </w:r>
          </w:p>
        </w:tc>
        <w:tc>
          <w:tcPr>
            <w:tcW w:type="dxa" w:w="2351"/>
          </w:tcPr>
          <w:p>
            <w:r/>
            <w:r>
              <w:rPr>
                <w:rFonts w:ascii="Times New Roman" w:hAnsi="Times New Roman"/>
                <w:sz w:val="20"/>
              </w:rPr>
              <w:t>Non adapté à l'Algérie, pas de personnalisation médicale</w:t>
            </w:r>
          </w:p>
        </w:tc>
      </w:tr>
      <w:tr>
        <w:tc>
          <w:tcPr>
            <w:tcW w:type="dxa" w:w="2351"/>
          </w:tcPr>
          <w:p>
            <w:r/>
            <w:r>
              <w:rPr>
                <w:rFonts w:ascii="Times New Roman" w:hAnsi="Times New Roman"/>
                <w:sz w:val="20"/>
              </w:rPr>
              <w:t>Yassir</w:t>
            </w:r>
          </w:p>
        </w:tc>
        <w:tc>
          <w:tcPr>
            <w:tcW w:type="dxa" w:w="2351"/>
          </w:tcPr>
          <w:p>
            <w:r/>
            <w:r>
              <w:rPr>
                <w:rFonts w:ascii="Times New Roman" w:hAnsi="Times New Roman"/>
                <w:sz w:val="20"/>
              </w:rPr>
              <w:t>Super-app local</w:t>
            </w:r>
          </w:p>
        </w:tc>
        <w:tc>
          <w:tcPr>
            <w:tcW w:type="dxa" w:w="2351"/>
          </w:tcPr>
          <w:p>
            <w:r/>
            <w:r>
              <w:rPr>
                <w:rFonts w:ascii="Times New Roman" w:hAnsi="Times New Roman"/>
                <w:sz w:val="20"/>
              </w:rPr>
              <w:t>Forte présence Algérie</w:t>
            </w:r>
          </w:p>
        </w:tc>
        <w:tc>
          <w:tcPr>
            <w:tcW w:type="dxa" w:w="2351"/>
          </w:tcPr>
          <w:p>
            <w:r/>
            <w:r>
              <w:rPr>
                <w:rFonts w:ascii="Times New Roman" w:hAnsi="Times New Roman"/>
                <w:sz w:val="20"/>
              </w:rPr>
              <w:t>Pas de fonctionnalité santé/nutrition</w:t>
            </w:r>
          </w:p>
        </w:tc>
      </w:tr>
      <w:tr>
        <w:tc>
          <w:tcPr>
            <w:tcW w:type="dxa" w:w="2351"/>
          </w:tcPr>
          <w:p>
            <w:r/>
            <w:r>
              <w:rPr>
                <w:rFonts w:ascii="Times New Roman" w:hAnsi="Times New Roman"/>
                <w:sz w:val="20"/>
              </w:rPr>
              <w:t>Open Food Facts</w:t>
            </w:r>
          </w:p>
        </w:tc>
        <w:tc>
          <w:tcPr>
            <w:tcW w:type="dxa" w:w="2351"/>
          </w:tcPr>
          <w:p>
            <w:r/>
            <w:r>
              <w:rPr>
                <w:rFonts w:ascii="Times New Roman" w:hAnsi="Times New Roman"/>
                <w:sz w:val="20"/>
              </w:rPr>
              <w:t>Base collaborative</w:t>
            </w:r>
          </w:p>
        </w:tc>
        <w:tc>
          <w:tcPr>
            <w:tcW w:type="dxa" w:w="2351"/>
          </w:tcPr>
          <w:p>
            <w:r/>
            <w:r>
              <w:rPr>
                <w:rFonts w:ascii="Times New Roman" w:hAnsi="Times New Roman"/>
                <w:sz w:val="20"/>
              </w:rPr>
              <w:t>Données mondiales</w:t>
            </w:r>
          </w:p>
        </w:tc>
        <w:tc>
          <w:tcPr>
            <w:tcW w:type="dxa" w:w="2351"/>
          </w:tcPr>
          <w:p>
            <w:r/>
            <w:r>
              <w:rPr>
                <w:rFonts w:ascii="Times New Roman" w:hAnsi="Times New Roman"/>
                <w:sz w:val="20"/>
              </w:rPr>
              <w:t>Pas de personnalisation, interface technique</w:t>
            </w:r>
          </w:p>
        </w:tc>
      </w:tr>
    </w:tbl>
    <w:p>
      <w:r>
        <w:rPr>
          <w:rFonts w:ascii="Times New Roman" w:hAnsi="Times New Roman"/>
          <w:b w:val="0"/>
          <w:i w:val="0"/>
          <w:sz w:val="24"/>
        </w:rPr>
        <w:t>Positionnement : Smart Healthy combine forte personnalisation médicale et couverture locale — quadrant unique. Intensité concurrentielle globale : 2,5/5.</w:t>
      </w:r>
    </w:p>
    <w:p>
      <w:r>
        <w:rPr>
          <w:rFonts w:ascii="Times New Roman" w:hAnsi="Times New Roman"/>
          <w:b/>
          <w:sz w:val="24"/>
        </w:rPr>
        <w:t>3. Stratégie marketing</w:t>
      </w:r>
    </w:p>
    <w:p>
      <w:r>
        <w:rPr>
          <w:rFonts w:ascii="Times New Roman" w:hAnsi="Times New Roman"/>
          <w:b w:val="0"/>
          <w:i w:val="0"/>
          <w:sz w:val="24"/>
        </w:rPr>
        <w:t>La stratégie privilégie un marketing de traction à faible coût (actions organiques, ciblées, mesurables) :</w:t>
      </w:r>
    </w:p>
    <w:p>
      <w:r>
        <w:rPr>
          <w:rFonts w:ascii="Times New Roman" w:hAnsi="Times New Roman"/>
          <w:b w:val="0"/>
          <w:i w:val="0"/>
          <w:sz w:val="24"/>
        </w:rPr>
        <w:t>• Marketing mix : Produit (plateforme web + scoring nutritionnel + 1 012 produits), Prix (abonnement premium 5 000 DZD/an, partenaire 36 000 DZD/an, licence nutritionniste 24 000 DZD/an), Place (web responsive mobile + carte interactive), Promotion (contenu réseaux sociaux, associations patients, QR codes pharmacies).</w:t>
      </w:r>
    </w:p>
    <w:p>
      <w:r>
        <w:rPr>
          <w:rFonts w:ascii="Times New Roman" w:hAnsi="Times New Roman"/>
          <w:b w:val="0"/>
          <w:i w:val="0"/>
          <w:sz w:val="24"/>
        </w:rPr>
        <w:t>• Modèle vertueux : L'augmentation des utilisateurs B2C attire davantage de commerçants, qui enrichissent la base produits et renforcent l'utilité de la solution.</w:t>
      </w:r>
    </w:p>
    <w:p>
      <w:r>
        <w:br w:type="page"/>
      </w:r>
    </w:p>
    <w:p>
      <w:pPr>
        <w:jc w:val="left"/>
      </w:pPr>
      <w:r>
        <w:rPr>
          <w:rFonts w:ascii="Times New Roman" w:hAnsi="Times New Roman"/>
          <w:b/>
          <w:color w:val="000000"/>
          <w:sz w:val="28"/>
        </w:rPr>
        <w:t>Quatrième axe : Plan de production et d'organisation</w:t>
      </w:r>
    </w:p>
    <w:p>
      <w:r>
        <w:rPr>
          <w:rFonts w:ascii="Times New Roman" w:hAnsi="Times New Roman"/>
          <w:b/>
          <w:sz w:val="24"/>
        </w:rPr>
        <w:t>1. Processus de production</w:t>
      </w:r>
    </w:p>
    <w:p>
      <w:r>
        <w:rPr>
          <w:rFonts w:ascii="Times New Roman" w:hAnsi="Times New Roman"/>
          <w:b w:val="0"/>
          <w:i w:val="0"/>
          <w:sz w:val="24"/>
        </w:rPr>
        <w:t>Le processus de production de Smart Healthy (plateforme numérique) comprend 6 étapes :</w:t>
      </w:r>
    </w:p>
    <w:p>
      <w:r>
        <w:rPr>
          <w:rFonts w:ascii="Times New Roman" w:hAnsi="Times New Roman"/>
          <w:b w:val="0"/>
          <w:i w:val="0"/>
          <w:sz w:val="24"/>
        </w:rPr>
        <w:t>1. Collecte et structuration des données produits (saisie manuelle ou import CSV par les commerçants partenaires)</w:t>
      </w:r>
    </w:p>
    <w:p>
      <w:r>
        <w:rPr>
          <w:rFonts w:ascii="Times New Roman" w:hAnsi="Times New Roman"/>
          <w:b w:val="0"/>
          <w:i w:val="0"/>
          <w:sz w:val="24"/>
        </w:rPr>
        <w:t>2. Traitement et classification nutritionnelle (analyse selon compatibilité diabète/cœliaque, validation nutritionniste)</w:t>
      </w:r>
    </w:p>
    <w:p>
      <w:r>
        <w:rPr>
          <w:rFonts w:ascii="Times New Roman" w:hAnsi="Times New Roman"/>
          <w:b w:val="0"/>
          <w:i w:val="0"/>
          <w:sz w:val="24"/>
        </w:rPr>
        <w:t>3. Personnalisation du profil utilisateur (données biométriques + pathologie → recommandations en temps réel)</w:t>
      </w:r>
    </w:p>
    <w:p>
      <w:r>
        <w:rPr>
          <w:rFonts w:ascii="Times New Roman" w:hAnsi="Times New Roman"/>
          <w:b w:val="0"/>
          <w:i w:val="0"/>
          <w:sz w:val="24"/>
        </w:rPr>
        <w:t>4. Fourniture du service (consultation produits compatibles, recettes adaptées, contenus éducatifs)</w:t>
      </w:r>
    </w:p>
    <w:p>
      <w:r>
        <w:rPr>
          <w:rFonts w:ascii="Times New Roman" w:hAnsi="Times New Roman"/>
          <w:b w:val="0"/>
          <w:i w:val="0"/>
          <w:sz w:val="24"/>
        </w:rPr>
        <w:t>5. Suivi et amélioration (analyse des données d'utilisation pour enrichir la base)</w:t>
      </w:r>
    </w:p>
    <w:p>
      <w:r>
        <w:rPr>
          <w:rFonts w:ascii="Times New Roman" w:hAnsi="Times New Roman"/>
          <w:b w:val="0"/>
          <w:i w:val="0"/>
          <w:sz w:val="24"/>
        </w:rPr>
        <w:t>6. Accompagnement et fidélisation (chat intégré, notifications push, newsletters)</w:t>
      </w:r>
    </w:p>
    <w:p>
      <w:r>
        <w:rPr>
          <w:rFonts w:ascii="Times New Roman" w:hAnsi="Times New Roman"/>
          <w:b/>
          <w:sz w:val="24"/>
        </w:rPr>
        <w:t>2. Approvisionnement</w:t>
      </w:r>
    </w:p>
    <w:p>
      <w:r>
        <w:rPr>
          <w:rFonts w:ascii="Times New Roman" w:hAnsi="Times New Roman"/>
          <w:b w:val="0"/>
          <w:i w:val="0"/>
          <w:sz w:val="24"/>
        </w:rPr>
        <w:t>Smart Healthy repose sur l'acquisition de ressources techniques et services numériques : hébergement cloud (Supabase, Vercel), outils SaaS, API de géolocalisation. Avantage clé : structure de coûts variables sans stocks ni transport physique.</w:t>
      </w:r>
    </w:p>
    <w:p>
      <w:r>
        <w:rPr>
          <w:rFonts w:ascii="Times New Roman" w:hAnsi="Times New Roman"/>
          <w:b/>
          <w:sz w:val="24"/>
        </w:rPr>
        <w:t>3. Main-d'œuvre</w:t>
      </w:r>
    </w:p>
    <w:p>
      <w:r>
        <w:rPr>
          <w:rFonts w:ascii="Times New Roman" w:hAnsi="Times New Roman"/>
          <w:b w:val="0"/>
          <w:i w:val="0"/>
          <w:sz w:val="24"/>
        </w:rPr>
        <w:t>Équipe restreinte : développeur web/mobile, responsable marketing digital, nutritionniste partenaire, agent commercial B2B (temps partiel). Emplois indirects via commerçants partenaires et associations. Aucune manutention — fonctionnement entièrement numérique.</w:t>
      </w:r>
    </w:p>
    <w:p>
      <w:r>
        <w:rPr>
          <w:rFonts w:ascii="Times New Roman" w:hAnsi="Times New Roman"/>
          <w:b/>
          <w:sz w:val="24"/>
        </w:rPr>
        <w:t>4. Principaux partenaires</w:t>
      </w:r>
    </w:p>
    <w:p>
      <w:r>
        <w:rPr>
          <w:rFonts w:ascii="Times New Roman" w:hAnsi="Times New Roman"/>
          <w:b w:val="0"/>
          <w:i w:val="0"/>
          <w:sz w:val="24"/>
        </w:rPr>
        <w:t>• Commerçants partenaires (données produits et mise à jour catalogue)</w:t>
        <w:br/>
        <w:t>• Fournisseurs cloud (hébergement, sécurité, stabilité)</w:t>
        <w:br/>
        <w:t>• Nutritionniste partenaire (validation scientifique des recommandations)</w:t>
        <w:br/>
        <w:t>• Associations de patients (sensibilisation et diffusion)</w:t>
        <w:br/>
        <w:t>• Pharmacies et magasins spécialisés (relais via QR codes)</w:t>
        <w:br/>
        <w:t>• Incubateurs universitaires (accompagnement organisationnel et stratégique)</w:t>
        <w:br/>
        <w:t>• Structures de financement (aides et subventions)</w:t>
      </w:r>
    </w:p>
    <w:p>
      <w:r>
        <w:br w:type="page"/>
      </w:r>
    </w:p>
    <w:p>
      <w:pPr>
        <w:jc w:val="left"/>
      </w:pPr>
      <w:r>
        <w:rPr>
          <w:rFonts w:ascii="Times New Roman" w:hAnsi="Times New Roman"/>
          <w:b/>
          <w:color w:val="000000"/>
          <w:sz w:val="28"/>
        </w:rPr>
        <w:t>Cinquième axe : Plan financier</w:t>
      </w:r>
    </w:p>
    <w:p>
      <w:r>
        <w:rPr>
          <w:rFonts w:ascii="Times New Roman" w:hAnsi="Times New Roman"/>
          <w:b/>
          <w:sz w:val="24"/>
        </w:rPr>
        <w:t>1. Coûts et charges</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Poste</w:t>
            </w:r>
          </w:p>
        </w:tc>
        <w:tc>
          <w:tcPr>
            <w:tcW w:type="dxa" w:w="4703"/>
            <w:shd w:fill="D9E2F3"/>
          </w:tcPr>
          <w:p>
            <w:pPr>
              <w:jc w:val="center"/>
            </w:pPr>
            <w:r/>
            <w:r>
              <w:rPr>
                <w:rFonts w:ascii="Times New Roman" w:hAnsi="Times New Roman"/>
                <w:b/>
                <w:sz w:val="20"/>
              </w:rPr>
              <w:t>Montant (DZD)</w:t>
            </w:r>
          </w:p>
        </w:tc>
      </w:tr>
      <w:tr>
        <w:tc>
          <w:tcPr>
            <w:tcW w:type="dxa" w:w="4703"/>
          </w:tcPr>
          <w:p>
            <w:r/>
            <w:r>
              <w:rPr>
                <w:rFonts w:ascii="Times New Roman" w:hAnsi="Times New Roman"/>
                <w:sz w:val="20"/>
              </w:rPr>
              <w:t>Développement technologique (UI/UX, backend, frontend)</w:t>
            </w:r>
          </w:p>
        </w:tc>
        <w:tc>
          <w:tcPr>
            <w:tcW w:type="dxa" w:w="4703"/>
          </w:tcPr>
          <w:p>
            <w:r/>
            <w:r>
              <w:rPr>
                <w:rFonts w:ascii="Times New Roman" w:hAnsi="Times New Roman"/>
                <w:sz w:val="20"/>
              </w:rPr>
              <w:t>2 000 000</w:t>
            </w:r>
          </w:p>
        </w:tc>
      </w:tr>
      <w:tr>
        <w:tc>
          <w:tcPr>
            <w:tcW w:type="dxa" w:w="4703"/>
          </w:tcPr>
          <w:p>
            <w:r/>
            <w:r>
              <w:rPr>
                <w:rFonts w:ascii="Times New Roman" w:hAnsi="Times New Roman"/>
                <w:sz w:val="20"/>
              </w:rPr>
              <w:t>Équipement informatique et licences logicielles</w:t>
            </w:r>
          </w:p>
        </w:tc>
        <w:tc>
          <w:tcPr>
            <w:tcW w:type="dxa" w:w="4703"/>
          </w:tcPr>
          <w:p>
            <w:r/>
            <w:r>
              <w:rPr>
                <w:rFonts w:ascii="Times New Roman" w:hAnsi="Times New Roman"/>
                <w:sz w:val="20"/>
              </w:rPr>
              <w:t>800 000</w:t>
            </w:r>
          </w:p>
        </w:tc>
      </w:tr>
      <w:tr>
        <w:tc>
          <w:tcPr>
            <w:tcW w:type="dxa" w:w="4703"/>
          </w:tcPr>
          <w:p>
            <w:r/>
            <w:r>
              <w:rPr>
                <w:rFonts w:ascii="Times New Roman" w:hAnsi="Times New Roman"/>
                <w:sz w:val="20"/>
              </w:rPr>
              <w:t>Campagne de lancement et marketing initial</w:t>
            </w:r>
          </w:p>
        </w:tc>
        <w:tc>
          <w:tcPr>
            <w:tcW w:type="dxa" w:w="4703"/>
          </w:tcPr>
          <w:p>
            <w:r/>
            <w:r>
              <w:rPr>
                <w:rFonts w:ascii="Times New Roman" w:hAnsi="Times New Roman"/>
                <w:sz w:val="20"/>
              </w:rPr>
              <w:t>700 000</w:t>
            </w:r>
          </w:p>
        </w:tc>
      </w:tr>
      <w:tr>
        <w:tc>
          <w:tcPr>
            <w:tcW w:type="dxa" w:w="4703"/>
          </w:tcPr>
          <w:p>
            <w:r/>
            <w:r>
              <w:rPr>
                <w:rFonts w:ascii="Times New Roman" w:hAnsi="Times New Roman"/>
                <w:sz w:val="20"/>
              </w:rPr>
              <w:t>Frais juridiques et de constitution</w:t>
            </w:r>
          </w:p>
        </w:tc>
        <w:tc>
          <w:tcPr>
            <w:tcW w:type="dxa" w:w="4703"/>
          </w:tcPr>
          <w:p>
            <w:r/>
            <w:r>
              <w:rPr>
                <w:rFonts w:ascii="Times New Roman" w:hAnsi="Times New Roman"/>
                <w:sz w:val="20"/>
              </w:rPr>
              <w:t>300 000</w:t>
            </w:r>
          </w:p>
        </w:tc>
      </w:tr>
      <w:tr>
        <w:tc>
          <w:tcPr>
            <w:tcW w:type="dxa" w:w="4703"/>
          </w:tcPr>
          <w:p>
            <w:r/>
            <w:r>
              <w:rPr>
                <w:rFonts w:ascii="Times New Roman" w:hAnsi="Times New Roman"/>
                <w:sz w:val="20"/>
              </w:rPr>
              <w:t>Réserve de trésorerie de départ</w:t>
            </w:r>
          </w:p>
        </w:tc>
        <w:tc>
          <w:tcPr>
            <w:tcW w:type="dxa" w:w="4703"/>
          </w:tcPr>
          <w:p>
            <w:r/>
            <w:r>
              <w:rPr>
                <w:rFonts w:ascii="Times New Roman" w:hAnsi="Times New Roman"/>
                <w:sz w:val="20"/>
              </w:rPr>
              <w:t>1 000 000</w:t>
            </w:r>
          </w:p>
        </w:tc>
      </w:tr>
      <w:tr>
        <w:tc>
          <w:tcPr>
            <w:tcW w:type="dxa" w:w="4703"/>
          </w:tcPr>
          <w:p>
            <w:r/>
            <w:r>
              <w:rPr>
                <w:rFonts w:ascii="Times New Roman" w:hAnsi="Times New Roman"/>
                <w:sz w:val="20"/>
              </w:rPr>
              <w:t>Total investissement initial</w:t>
            </w:r>
          </w:p>
        </w:tc>
        <w:tc>
          <w:tcPr>
            <w:tcW w:type="dxa" w:w="4703"/>
          </w:tcPr>
          <w:p>
            <w:r/>
            <w:r>
              <w:rPr>
                <w:rFonts w:ascii="Times New Roman" w:hAnsi="Times New Roman"/>
                <w:sz w:val="20"/>
              </w:rPr>
              <w:t>4 800 000</w:t>
            </w:r>
          </w:p>
        </w:tc>
      </w:tr>
    </w:tbl>
    <w:p/>
    <w:p>
      <w:r>
        <w:rPr>
          <w:rFonts w:ascii="Times New Roman" w:hAnsi="Times New Roman"/>
          <w:b/>
          <w:i w:val="0"/>
          <w:sz w:val="24"/>
        </w:rPr>
        <w:t>Sources de financement :</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Source</w:t>
            </w:r>
          </w:p>
        </w:tc>
        <w:tc>
          <w:tcPr>
            <w:tcW w:type="dxa" w:w="4703"/>
            <w:shd w:fill="D9E2F3"/>
          </w:tcPr>
          <w:p>
            <w:pPr>
              <w:jc w:val="center"/>
            </w:pPr>
            <w:r/>
            <w:r>
              <w:rPr>
                <w:rFonts w:ascii="Times New Roman" w:hAnsi="Times New Roman"/>
                <w:b/>
                <w:sz w:val="20"/>
              </w:rPr>
              <w:t>Montant (DZD)</w:t>
            </w:r>
          </w:p>
        </w:tc>
      </w:tr>
      <w:tr>
        <w:tc>
          <w:tcPr>
            <w:tcW w:type="dxa" w:w="4703"/>
          </w:tcPr>
          <w:p>
            <w:r/>
            <w:r>
              <w:rPr>
                <w:rFonts w:ascii="Times New Roman" w:hAnsi="Times New Roman"/>
                <w:sz w:val="20"/>
              </w:rPr>
              <w:t>Fonds propres des fondateurs</w:t>
            </w:r>
          </w:p>
        </w:tc>
        <w:tc>
          <w:tcPr>
            <w:tcW w:type="dxa" w:w="4703"/>
          </w:tcPr>
          <w:p>
            <w:r/>
            <w:r>
              <w:rPr>
                <w:rFonts w:ascii="Times New Roman" w:hAnsi="Times New Roman"/>
                <w:sz w:val="20"/>
              </w:rPr>
              <w:t>800 000</w:t>
            </w:r>
          </w:p>
        </w:tc>
      </w:tr>
      <w:tr>
        <w:tc>
          <w:tcPr>
            <w:tcW w:type="dxa" w:w="4703"/>
          </w:tcPr>
          <w:p>
            <w:r/>
            <w:r>
              <w:rPr>
                <w:rFonts w:ascii="Times New Roman" w:hAnsi="Times New Roman"/>
                <w:sz w:val="20"/>
              </w:rPr>
              <w:t>Subvention ou aide au démarrage</w:t>
            </w:r>
          </w:p>
        </w:tc>
        <w:tc>
          <w:tcPr>
            <w:tcW w:type="dxa" w:w="4703"/>
          </w:tcPr>
          <w:p>
            <w:r/>
            <w:r>
              <w:rPr>
                <w:rFonts w:ascii="Times New Roman" w:hAnsi="Times New Roman"/>
                <w:sz w:val="20"/>
              </w:rPr>
              <w:t>2 000 000</w:t>
            </w:r>
          </w:p>
        </w:tc>
      </w:tr>
      <w:tr>
        <w:tc>
          <w:tcPr>
            <w:tcW w:type="dxa" w:w="4703"/>
          </w:tcPr>
          <w:p>
            <w:r/>
            <w:r>
              <w:rPr>
                <w:rFonts w:ascii="Times New Roman" w:hAnsi="Times New Roman"/>
                <w:sz w:val="20"/>
              </w:rPr>
              <w:t>Crédit bancaire bonifié (0%, différé 2 ans, 5 ans)</w:t>
            </w:r>
          </w:p>
        </w:tc>
        <w:tc>
          <w:tcPr>
            <w:tcW w:type="dxa" w:w="4703"/>
          </w:tcPr>
          <w:p>
            <w:r/>
            <w:r>
              <w:rPr>
                <w:rFonts w:ascii="Times New Roman" w:hAnsi="Times New Roman"/>
                <w:sz w:val="20"/>
              </w:rPr>
              <w:t>2 000 000</w:t>
            </w:r>
          </w:p>
        </w:tc>
      </w:tr>
      <w:tr>
        <w:tc>
          <w:tcPr>
            <w:tcW w:type="dxa" w:w="4703"/>
          </w:tcPr>
          <w:p>
            <w:r/>
            <w:r>
              <w:rPr>
                <w:rFonts w:ascii="Times New Roman" w:hAnsi="Times New Roman"/>
                <w:sz w:val="20"/>
              </w:rPr>
              <w:t>Love money / soutien familial</w:t>
            </w:r>
          </w:p>
        </w:tc>
        <w:tc>
          <w:tcPr>
            <w:tcW w:type="dxa" w:w="4703"/>
          </w:tcPr>
          <w:p>
            <w:r/>
            <w:r>
              <w:rPr>
                <w:rFonts w:ascii="Times New Roman" w:hAnsi="Times New Roman"/>
                <w:sz w:val="20"/>
              </w:rPr>
              <w:t>500 000</w:t>
            </w:r>
          </w:p>
        </w:tc>
      </w:tr>
      <w:tr>
        <w:tc>
          <w:tcPr>
            <w:tcW w:type="dxa" w:w="4703"/>
          </w:tcPr>
          <w:p>
            <w:r/>
            <w:r>
              <w:rPr>
                <w:rFonts w:ascii="Times New Roman" w:hAnsi="Times New Roman"/>
                <w:sz w:val="20"/>
              </w:rPr>
              <w:t>Total financement mobilisé</w:t>
            </w:r>
          </w:p>
        </w:tc>
        <w:tc>
          <w:tcPr>
            <w:tcW w:type="dxa" w:w="4703"/>
          </w:tcPr>
          <w:p>
            <w:r/>
            <w:r>
              <w:rPr>
                <w:rFonts w:ascii="Times New Roman" w:hAnsi="Times New Roman"/>
                <w:sz w:val="20"/>
              </w:rPr>
              <w:t>5 300 000</w:t>
            </w:r>
          </w:p>
        </w:tc>
      </w:tr>
    </w:tbl>
    <w:p>
      <w:r>
        <w:rPr>
          <w:rFonts w:ascii="Times New Roman" w:hAnsi="Times New Roman"/>
          <w:b/>
          <w:sz w:val="24"/>
        </w:rPr>
        <w:t>2. Chiffre d'affaires</w:t>
      </w:r>
    </w:p>
    <w:p>
      <w:r>
        <w:rPr>
          <w:rFonts w:ascii="Times New Roman" w:hAnsi="Times New Roman"/>
          <w:b/>
          <w:i w:val="0"/>
          <w:sz w:val="24"/>
        </w:rPr>
        <w:t>Produits et tarifs :</w:t>
      </w:r>
    </w:p>
    <w:p>
      <w:r>
        <w:rPr>
          <w:rFonts w:ascii="Times New Roman" w:hAnsi="Times New Roman"/>
          <w:b w:val="0"/>
          <w:i w:val="0"/>
          <w:sz w:val="24"/>
        </w:rPr>
        <w:t>• Produit A : Abonnement utilisateur premium — 5 000 DZD/an</w:t>
      </w:r>
    </w:p>
    <w:p>
      <w:r>
        <w:rPr>
          <w:rFonts w:ascii="Times New Roman" w:hAnsi="Times New Roman"/>
          <w:b w:val="0"/>
          <w:i w:val="0"/>
          <w:sz w:val="24"/>
        </w:rPr>
        <w:t>• Produit B : Abonnement partenaire (commerces) — 36 000 DZD/an</w:t>
      </w:r>
    </w:p>
    <w:p>
      <w:r>
        <w:rPr>
          <w:rFonts w:ascii="Times New Roman" w:hAnsi="Times New Roman"/>
          <w:b w:val="0"/>
          <w:i w:val="0"/>
          <w:sz w:val="24"/>
        </w:rPr>
        <w:t>• Produit C : Licence professionnelle nutritionniste — 24 000 DZD/an</w:t>
      </w:r>
    </w:p>
    <w:p>
      <w:r>
        <w:rPr>
          <w:rFonts w:ascii="Times New Roman" w:hAnsi="Times New Roman"/>
          <w:b/>
          <w:i w:val="0"/>
          <w:sz w:val="24"/>
        </w:rPr>
        <w:t>Scénario optimiste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pPr>
              <w:jc w:val="center"/>
            </w:pPr>
            <w:r/>
            <w:r>
              <w:rPr>
                <w:rFonts w:ascii="Times New Roman" w:hAnsi="Times New Roman"/>
                <w:b/>
                <w:sz w:val="20"/>
              </w:rPr>
              <w:t>En DZD</w:t>
            </w:r>
          </w:p>
        </w:tc>
        <w:tc>
          <w:tcPr>
            <w:tcW w:type="dxa" w:w="1344"/>
            <w:shd w:fill="D9E2F3"/>
          </w:tcPr>
          <w:p>
            <w:pPr>
              <w:jc w:val="center"/>
            </w:pPr>
            <w:r/>
            <w:r>
              <w:rPr>
                <w:rFonts w:ascii="Times New Roman" w:hAnsi="Times New Roman"/>
                <w:b/>
                <w:sz w:val="20"/>
              </w:rPr>
              <w:t>N</w:t>
            </w:r>
          </w:p>
        </w:tc>
        <w:tc>
          <w:tcPr>
            <w:tcW w:type="dxa" w:w="1344"/>
            <w:shd w:fill="D9E2F3"/>
          </w:tcPr>
          <w:p>
            <w:pPr>
              <w:jc w:val="center"/>
            </w:pPr>
            <w:r/>
            <w:r>
              <w:rPr>
                <w:rFonts w:ascii="Times New Roman" w:hAnsi="Times New Roman"/>
                <w:b/>
                <w:sz w:val="20"/>
              </w:rPr>
              <w:t>N+1</w:t>
            </w:r>
          </w:p>
        </w:tc>
        <w:tc>
          <w:tcPr>
            <w:tcW w:type="dxa" w:w="1344"/>
            <w:shd w:fill="D9E2F3"/>
          </w:tcPr>
          <w:p>
            <w:pPr>
              <w:jc w:val="center"/>
            </w:pPr>
            <w:r/>
            <w:r>
              <w:rPr>
                <w:rFonts w:ascii="Times New Roman" w:hAnsi="Times New Roman"/>
                <w:b/>
                <w:sz w:val="20"/>
              </w:rPr>
              <w:t>N+2</w:t>
            </w:r>
          </w:p>
        </w:tc>
        <w:tc>
          <w:tcPr>
            <w:tcW w:type="dxa" w:w="1344"/>
            <w:shd w:fill="D9E2F3"/>
          </w:tcPr>
          <w:p>
            <w:pPr>
              <w:jc w:val="center"/>
            </w:pPr>
            <w:r/>
            <w:r>
              <w:rPr>
                <w:rFonts w:ascii="Times New Roman" w:hAnsi="Times New Roman"/>
                <w:b/>
                <w:sz w:val="20"/>
              </w:rPr>
              <w:t>N+3</w:t>
            </w:r>
          </w:p>
        </w:tc>
        <w:tc>
          <w:tcPr>
            <w:tcW w:type="dxa" w:w="1344"/>
            <w:shd w:fill="D9E2F3"/>
          </w:tcPr>
          <w:p>
            <w:pPr>
              <w:jc w:val="center"/>
            </w:pPr>
            <w:r/>
            <w:r>
              <w:rPr>
                <w:rFonts w:ascii="Times New Roman" w:hAnsi="Times New Roman"/>
                <w:b/>
                <w:sz w:val="20"/>
              </w:rPr>
              <w:t>N+4</w:t>
            </w:r>
          </w:p>
        </w:tc>
        <w:tc>
          <w:tcPr>
            <w:tcW w:type="dxa" w:w="1344"/>
            <w:shd w:fill="D9E2F3"/>
          </w:tcPr>
          <w:p>
            <w:pPr>
              <w:jc w:val="center"/>
            </w:pPr>
            <w:r/>
            <w:r>
              <w:rPr>
                <w:rFonts w:ascii="Times New Roman" w:hAnsi="Times New Roman"/>
                <w:b/>
                <w:sz w:val="20"/>
              </w:rPr>
              <w:t>N+5</w:t>
            </w:r>
          </w:p>
        </w:tc>
      </w:tr>
      <w:tr>
        <w:tc>
          <w:tcPr>
            <w:tcW w:type="dxa" w:w="1344"/>
          </w:tcPr>
          <w:p>
            <w:r/>
            <w:r>
              <w:rPr>
                <w:rFonts w:ascii="Times New Roman" w:hAnsi="Times New Roman"/>
                <w:sz w:val="20"/>
              </w:rPr>
              <w:t>Ventes A</w:t>
            </w:r>
          </w:p>
        </w:tc>
        <w:tc>
          <w:tcPr>
            <w:tcW w:type="dxa" w:w="1344"/>
          </w:tcPr>
          <w:p>
            <w:r/>
            <w:r>
              <w:rPr>
                <w:rFonts w:ascii="Times New Roman" w:hAnsi="Times New Roman"/>
                <w:sz w:val="20"/>
              </w:rPr>
              <w:t>1 000 000</w:t>
            </w:r>
          </w:p>
        </w:tc>
        <w:tc>
          <w:tcPr>
            <w:tcW w:type="dxa" w:w="1344"/>
          </w:tcPr>
          <w:p>
            <w:r/>
            <w:r>
              <w:rPr>
                <w:rFonts w:ascii="Times New Roman" w:hAnsi="Times New Roman"/>
                <w:sz w:val="20"/>
              </w:rPr>
              <w:t>2 500 000</w:t>
            </w:r>
          </w:p>
        </w:tc>
        <w:tc>
          <w:tcPr>
            <w:tcW w:type="dxa" w:w="1344"/>
          </w:tcPr>
          <w:p>
            <w:r/>
            <w:r>
              <w:rPr>
                <w:rFonts w:ascii="Times New Roman" w:hAnsi="Times New Roman"/>
                <w:sz w:val="20"/>
              </w:rPr>
              <w:t>6 000 000</w:t>
            </w:r>
          </w:p>
        </w:tc>
        <w:tc>
          <w:tcPr>
            <w:tcW w:type="dxa" w:w="1344"/>
          </w:tcPr>
          <w:p>
            <w:r/>
            <w:r>
              <w:rPr>
                <w:rFonts w:ascii="Times New Roman" w:hAnsi="Times New Roman"/>
                <w:sz w:val="20"/>
              </w:rPr>
              <w:t>12 000 000</w:t>
            </w:r>
          </w:p>
        </w:tc>
        <w:tc>
          <w:tcPr>
            <w:tcW w:type="dxa" w:w="1344"/>
          </w:tcPr>
          <w:p>
            <w:r/>
            <w:r>
              <w:rPr>
                <w:rFonts w:ascii="Times New Roman" w:hAnsi="Times New Roman"/>
                <w:sz w:val="20"/>
              </w:rPr>
              <w:t>20 000 000</w:t>
            </w:r>
          </w:p>
        </w:tc>
        <w:tc>
          <w:tcPr>
            <w:tcW w:type="dxa" w:w="1344"/>
          </w:tcPr>
          <w:p>
            <w:r/>
            <w:r>
              <w:rPr>
                <w:rFonts w:ascii="Times New Roman" w:hAnsi="Times New Roman"/>
                <w:sz w:val="20"/>
              </w:rPr>
              <w:t>27 500 000</w:t>
            </w:r>
          </w:p>
        </w:tc>
      </w:tr>
      <w:tr>
        <w:tc>
          <w:tcPr>
            <w:tcW w:type="dxa" w:w="1344"/>
          </w:tcPr>
          <w:p>
            <w:r/>
            <w:r>
              <w:rPr>
                <w:rFonts w:ascii="Times New Roman" w:hAnsi="Times New Roman"/>
                <w:sz w:val="20"/>
              </w:rPr>
              <w:t>Ventes B</w:t>
            </w:r>
          </w:p>
        </w:tc>
        <w:tc>
          <w:tcPr>
            <w:tcW w:type="dxa" w:w="1344"/>
          </w:tcPr>
          <w:p>
            <w:r/>
            <w:r>
              <w:rPr>
                <w:rFonts w:ascii="Times New Roman" w:hAnsi="Times New Roman"/>
                <w:sz w:val="20"/>
              </w:rPr>
              <w:t>360 000</w:t>
            </w:r>
          </w:p>
        </w:tc>
        <w:tc>
          <w:tcPr>
            <w:tcW w:type="dxa" w:w="1344"/>
          </w:tcPr>
          <w:p>
            <w:r/>
            <w:r>
              <w:rPr>
                <w:rFonts w:ascii="Times New Roman" w:hAnsi="Times New Roman"/>
                <w:sz w:val="20"/>
              </w:rPr>
              <w:t>1 080 000</w:t>
            </w:r>
          </w:p>
        </w:tc>
        <w:tc>
          <w:tcPr>
            <w:tcW w:type="dxa" w:w="1344"/>
          </w:tcPr>
          <w:p>
            <w:r/>
            <w:r>
              <w:rPr>
                <w:rFonts w:ascii="Times New Roman" w:hAnsi="Times New Roman"/>
                <w:sz w:val="20"/>
              </w:rPr>
              <w:t>2 160 000</w:t>
            </w:r>
          </w:p>
        </w:tc>
        <w:tc>
          <w:tcPr>
            <w:tcW w:type="dxa" w:w="1344"/>
          </w:tcPr>
          <w:p>
            <w:r/>
            <w:r>
              <w:rPr>
                <w:rFonts w:ascii="Times New Roman" w:hAnsi="Times New Roman"/>
                <w:sz w:val="20"/>
              </w:rPr>
              <w:t>3 600 000</w:t>
            </w:r>
          </w:p>
        </w:tc>
        <w:tc>
          <w:tcPr>
            <w:tcW w:type="dxa" w:w="1344"/>
          </w:tcPr>
          <w:p>
            <w:r/>
            <w:r>
              <w:rPr>
                <w:rFonts w:ascii="Times New Roman" w:hAnsi="Times New Roman"/>
                <w:sz w:val="20"/>
              </w:rPr>
              <w:t>5 400 000</w:t>
            </w:r>
          </w:p>
        </w:tc>
        <w:tc>
          <w:tcPr>
            <w:tcW w:type="dxa" w:w="1344"/>
          </w:tcPr>
          <w:p>
            <w:r/>
            <w:r>
              <w:rPr>
                <w:rFonts w:ascii="Times New Roman" w:hAnsi="Times New Roman"/>
                <w:sz w:val="20"/>
              </w:rPr>
              <w:t>7 200 000</w:t>
            </w:r>
          </w:p>
        </w:tc>
      </w:tr>
      <w:tr>
        <w:tc>
          <w:tcPr>
            <w:tcW w:type="dxa" w:w="1344"/>
          </w:tcPr>
          <w:p>
            <w:r/>
            <w:r>
              <w:rPr>
                <w:rFonts w:ascii="Times New Roman" w:hAnsi="Times New Roman"/>
                <w:sz w:val="20"/>
              </w:rPr>
              <w:t>Ventes C</w:t>
            </w:r>
          </w:p>
        </w:tc>
        <w:tc>
          <w:tcPr>
            <w:tcW w:type="dxa" w:w="1344"/>
          </w:tcPr>
          <w:p>
            <w:r/>
            <w:r>
              <w:rPr>
                <w:rFonts w:ascii="Times New Roman" w:hAnsi="Times New Roman"/>
                <w:sz w:val="20"/>
              </w:rPr>
              <w:t>120 000</w:t>
            </w:r>
          </w:p>
        </w:tc>
        <w:tc>
          <w:tcPr>
            <w:tcW w:type="dxa" w:w="1344"/>
          </w:tcPr>
          <w:p>
            <w:r/>
            <w:r>
              <w:rPr>
                <w:rFonts w:ascii="Times New Roman" w:hAnsi="Times New Roman"/>
                <w:sz w:val="20"/>
              </w:rPr>
              <w:t>360 000</w:t>
            </w:r>
          </w:p>
        </w:tc>
        <w:tc>
          <w:tcPr>
            <w:tcW w:type="dxa" w:w="1344"/>
          </w:tcPr>
          <w:p>
            <w:r/>
            <w:r>
              <w:rPr>
                <w:rFonts w:ascii="Times New Roman" w:hAnsi="Times New Roman"/>
                <w:sz w:val="20"/>
              </w:rPr>
              <w:t>720 000</w:t>
            </w:r>
          </w:p>
        </w:tc>
        <w:tc>
          <w:tcPr>
            <w:tcW w:type="dxa" w:w="1344"/>
          </w:tcPr>
          <w:p>
            <w:r/>
            <w:r>
              <w:rPr>
                <w:rFonts w:ascii="Times New Roman" w:hAnsi="Times New Roman"/>
                <w:sz w:val="20"/>
              </w:rPr>
              <w:t>1 200 000</w:t>
            </w:r>
          </w:p>
        </w:tc>
        <w:tc>
          <w:tcPr>
            <w:tcW w:type="dxa" w:w="1344"/>
          </w:tcPr>
          <w:p>
            <w:r/>
            <w:r>
              <w:rPr>
                <w:rFonts w:ascii="Times New Roman" w:hAnsi="Times New Roman"/>
                <w:sz w:val="20"/>
              </w:rPr>
              <w:t>1 800 000</w:t>
            </w:r>
          </w:p>
        </w:tc>
        <w:tc>
          <w:tcPr>
            <w:tcW w:type="dxa" w:w="1344"/>
          </w:tcPr>
          <w:p>
            <w:r/>
            <w:r>
              <w:rPr>
                <w:rFonts w:ascii="Times New Roman" w:hAnsi="Times New Roman"/>
                <w:sz w:val="20"/>
              </w:rPr>
              <w:t>2 400 000</w:t>
            </w:r>
          </w:p>
        </w:tc>
      </w:tr>
      <w:tr>
        <w:tc>
          <w:tcPr>
            <w:tcW w:type="dxa" w:w="1344"/>
          </w:tcPr>
          <w:p>
            <w:r/>
            <w:r>
              <w:rPr>
                <w:rFonts w:ascii="Times New Roman" w:hAnsi="Times New Roman"/>
                <w:sz w:val="20"/>
              </w:rPr>
              <w:t>CA global</w:t>
            </w:r>
          </w:p>
        </w:tc>
        <w:tc>
          <w:tcPr>
            <w:tcW w:type="dxa" w:w="1344"/>
          </w:tcPr>
          <w:p>
            <w:r/>
            <w:r>
              <w:rPr>
                <w:rFonts w:ascii="Times New Roman" w:hAnsi="Times New Roman"/>
                <w:sz w:val="20"/>
              </w:rPr>
              <w:t>1 480 000</w:t>
            </w:r>
          </w:p>
        </w:tc>
        <w:tc>
          <w:tcPr>
            <w:tcW w:type="dxa" w:w="1344"/>
          </w:tcPr>
          <w:p>
            <w:r/>
            <w:r>
              <w:rPr>
                <w:rFonts w:ascii="Times New Roman" w:hAnsi="Times New Roman"/>
                <w:sz w:val="20"/>
              </w:rPr>
              <w:t>3 940 000</w:t>
            </w:r>
          </w:p>
        </w:tc>
        <w:tc>
          <w:tcPr>
            <w:tcW w:type="dxa" w:w="1344"/>
          </w:tcPr>
          <w:p>
            <w:r/>
            <w:r>
              <w:rPr>
                <w:rFonts w:ascii="Times New Roman" w:hAnsi="Times New Roman"/>
                <w:sz w:val="20"/>
              </w:rPr>
              <w:t>8 880 000</w:t>
            </w:r>
          </w:p>
        </w:tc>
        <w:tc>
          <w:tcPr>
            <w:tcW w:type="dxa" w:w="1344"/>
          </w:tcPr>
          <w:p>
            <w:r/>
            <w:r>
              <w:rPr>
                <w:rFonts w:ascii="Times New Roman" w:hAnsi="Times New Roman"/>
                <w:sz w:val="20"/>
              </w:rPr>
              <w:t>16 800 000</w:t>
            </w:r>
          </w:p>
        </w:tc>
        <w:tc>
          <w:tcPr>
            <w:tcW w:type="dxa" w:w="1344"/>
          </w:tcPr>
          <w:p>
            <w:r/>
            <w:r>
              <w:rPr>
                <w:rFonts w:ascii="Times New Roman" w:hAnsi="Times New Roman"/>
                <w:sz w:val="20"/>
              </w:rPr>
              <w:t>27 200 000</w:t>
            </w:r>
          </w:p>
        </w:tc>
        <w:tc>
          <w:tcPr>
            <w:tcW w:type="dxa" w:w="1344"/>
          </w:tcPr>
          <w:p>
            <w:r/>
            <w:r>
              <w:rPr>
                <w:rFonts w:ascii="Times New Roman" w:hAnsi="Times New Roman"/>
                <w:sz w:val="20"/>
              </w:rPr>
              <w:t>37 100 000</w:t>
            </w:r>
          </w:p>
        </w:tc>
      </w:tr>
    </w:tbl>
    <w:p/>
    <w:p>
      <w:r>
        <w:rPr>
          <w:rFonts w:ascii="Times New Roman" w:hAnsi="Times New Roman"/>
          <w:b/>
          <w:i w:val="0"/>
          <w:sz w:val="24"/>
        </w:rPr>
        <w:t>Scénario pessimiste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pPr>
              <w:jc w:val="center"/>
            </w:pPr>
            <w:r/>
            <w:r>
              <w:rPr>
                <w:rFonts w:ascii="Times New Roman" w:hAnsi="Times New Roman"/>
                <w:b/>
                <w:sz w:val="20"/>
              </w:rPr>
              <w:t>En DZD</w:t>
            </w:r>
          </w:p>
        </w:tc>
        <w:tc>
          <w:tcPr>
            <w:tcW w:type="dxa" w:w="1344"/>
            <w:shd w:fill="D9E2F3"/>
          </w:tcPr>
          <w:p>
            <w:pPr>
              <w:jc w:val="center"/>
            </w:pPr>
            <w:r/>
            <w:r>
              <w:rPr>
                <w:rFonts w:ascii="Times New Roman" w:hAnsi="Times New Roman"/>
                <w:b/>
                <w:sz w:val="20"/>
              </w:rPr>
              <w:t>N</w:t>
            </w:r>
          </w:p>
        </w:tc>
        <w:tc>
          <w:tcPr>
            <w:tcW w:type="dxa" w:w="1344"/>
            <w:shd w:fill="D9E2F3"/>
          </w:tcPr>
          <w:p>
            <w:pPr>
              <w:jc w:val="center"/>
            </w:pPr>
            <w:r/>
            <w:r>
              <w:rPr>
                <w:rFonts w:ascii="Times New Roman" w:hAnsi="Times New Roman"/>
                <w:b/>
                <w:sz w:val="20"/>
              </w:rPr>
              <w:t>N+1</w:t>
            </w:r>
          </w:p>
        </w:tc>
        <w:tc>
          <w:tcPr>
            <w:tcW w:type="dxa" w:w="1344"/>
            <w:shd w:fill="D9E2F3"/>
          </w:tcPr>
          <w:p>
            <w:pPr>
              <w:jc w:val="center"/>
            </w:pPr>
            <w:r/>
            <w:r>
              <w:rPr>
                <w:rFonts w:ascii="Times New Roman" w:hAnsi="Times New Roman"/>
                <w:b/>
                <w:sz w:val="20"/>
              </w:rPr>
              <w:t>N+2</w:t>
            </w:r>
          </w:p>
        </w:tc>
        <w:tc>
          <w:tcPr>
            <w:tcW w:type="dxa" w:w="1344"/>
            <w:shd w:fill="D9E2F3"/>
          </w:tcPr>
          <w:p>
            <w:pPr>
              <w:jc w:val="center"/>
            </w:pPr>
            <w:r/>
            <w:r>
              <w:rPr>
                <w:rFonts w:ascii="Times New Roman" w:hAnsi="Times New Roman"/>
                <w:b/>
                <w:sz w:val="20"/>
              </w:rPr>
              <w:t>N+3</w:t>
            </w:r>
          </w:p>
        </w:tc>
        <w:tc>
          <w:tcPr>
            <w:tcW w:type="dxa" w:w="1344"/>
            <w:shd w:fill="D9E2F3"/>
          </w:tcPr>
          <w:p>
            <w:pPr>
              <w:jc w:val="center"/>
            </w:pPr>
            <w:r/>
            <w:r>
              <w:rPr>
                <w:rFonts w:ascii="Times New Roman" w:hAnsi="Times New Roman"/>
                <w:b/>
                <w:sz w:val="20"/>
              </w:rPr>
              <w:t>N+4</w:t>
            </w:r>
          </w:p>
        </w:tc>
        <w:tc>
          <w:tcPr>
            <w:tcW w:type="dxa" w:w="1344"/>
            <w:shd w:fill="D9E2F3"/>
          </w:tcPr>
          <w:p>
            <w:pPr>
              <w:jc w:val="center"/>
            </w:pPr>
            <w:r/>
            <w:r>
              <w:rPr>
                <w:rFonts w:ascii="Times New Roman" w:hAnsi="Times New Roman"/>
                <w:b/>
                <w:sz w:val="20"/>
              </w:rPr>
              <w:t>N+5</w:t>
            </w:r>
          </w:p>
        </w:tc>
      </w:tr>
      <w:tr>
        <w:tc>
          <w:tcPr>
            <w:tcW w:type="dxa" w:w="1344"/>
          </w:tcPr>
          <w:p>
            <w:r/>
            <w:r>
              <w:rPr>
                <w:rFonts w:ascii="Times New Roman" w:hAnsi="Times New Roman"/>
                <w:sz w:val="20"/>
              </w:rPr>
              <w:t>Ventes A</w:t>
            </w:r>
          </w:p>
        </w:tc>
        <w:tc>
          <w:tcPr>
            <w:tcW w:type="dxa" w:w="1344"/>
          </w:tcPr>
          <w:p>
            <w:r/>
            <w:r>
              <w:rPr>
                <w:rFonts w:ascii="Times New Roman" w:hAnsi="Times New Roman"/>
                <w:sz w:val="20"/>
              </w:rPr>
              <w:t>500 000</w:t>
            </w:r>
          </w:p>
        </w:tc>
        <w:tc>
          <w:tcPr>
            <w:tcW w:type="dxa" w:w="1344"/>
          </w:tcPr>
          <w:p>
            <w:r/>
            <w:r>
              <w:rPr>
                <w:rFonts w:ascii="Times New Roman" w:hAnsi="Times New Roman"/>
                <w:sz w:val="20"/>
              </w:rPr>
              <w:t>1 500 000</w:t>
            </w:r>
          </w:p>
        </w:tc>
        <w:tc>
          <w:tcPr>
            <w:tcW w:type="dxa" w:w="1344"/>
          </w:tcPr>
          <w:p>
            <w:r/>
            <w:r>
              <w:rPr>
                <w:rFonts w:ascii="Times New Roman" w:hAnsi="Times New Roman"/>
                <w:sz w:val="20"/>
              </w:rPr>
              <w:t>3 500 000</w:t>
            </w:r>
          </w:p>
        </w:tc>
        <w:tc>
          <w:tcPr>
            <w:tcW w:type="dxa" w:w="1344"/>
          </w:tcPr>
          <w:p>
            <w:r/>
            <w:r>
              <w:rPr>
                <w:rFonts w:ascii="Times New Roman" w:hAnsi="Times New Roman"/>
                <w:sz w:val="20"/>
              </w:rPr>
              <w:t>7 500 000</w:t>
            </w:r>
          </w:p>
        </w:tc>
        <w:tc>
          <w:tcPr>
            <w:tcW w:type="dxa" w:w="1344"/>
          </w:tcPr>
          <w:p>
            <w:r/>
            <w:r>
              <w:rPr>
                <w:rFonts w:ascii="Times New Roman" w:hAnsi="Times New Roman"/>
                <w:sz w:val="20"/>
              </w:rPr>
              <w:t>13 000 000</w:t>
            </w:r>
          </w:p>
        </w:tc>
        <w:tc>
          <w:tcPr>
            <w:tcW w:type="dxa" w:w="1344"/>
          </w:tcPr>
          <w:p>
            <w:r/>
            <w:r>
              <w:rPr>
                <w:rFonts w:ascii="Times New Roman" w:hAnsi="Times New Roman"/>
                <w:sz w:val="20"/>
              </w:rPr>
              <w:t>18 000 000</w:t>
            </w:r>
          </w:p>
        </w:tc>
      </w:tr>
      <w:tr>
        <w:tc>
          <w:tcPr>
            <w:tcW w:type="dxa" w:w="1344"/>
          </w:tcPr>
          <w:p>
            <w:r/>
            <w:r>
              <w:rPr>
                <w:rFonts w:ascii="Times New Roman" w:hAnsi="Times New Roman"/>
                <w:sz w:val="20"/>
              </w:rPr>
              <w:t>Ventes B</w:t>
            </w:r>
          </w:p>
        </w:tc>
        <w:tc>
          <w:tcPr>
            <w:tcW w:type="dxa" w:w="1344"/>
          </w:tcPr>
          <w:p>
            <w:r/>
            <w:r>
              <w:rPr>
                <w:rFonts w:ascii="Times New Roman" w:hAnsi="Times New Roman"/>
                <w:sz w:val="20"/>
              </w:rPr>
              <w:t>180 000</w:t>
            </w:r>
          </w:p>
        </w:tc>
        <w:tc>
          <w:tcPr>
            <w:tcW w:type="dxa" w:w="1344"/>
          </w:tcPr>
          <w:p>
            <w:r/>
            <w:r>
              <w:rPr>
                <w:rFonts w:ascii="Times New Roman" w:hAnsi="Times New Roman"/>
                <w:sz w:val="20"/>
              </w:rPr>
              <w:t>540 000</w:t>
            </w:r>
          </w:p>
        </w:tc>
        <w:tc>
          <w:tcPr>
            <w:tcW w:type="dxa" w:w="1344"/>
          </w:tcPr>
          <w:p>
            <w:r/>
            <w:r>
              <w:rPr>
                <w:rFonts w:ascii="Times New Roman" w:hAnsi="Times New Roman"/>
                <w:sz w:val="20"/>
              </w:rPr>
              <w:t>1 260 000</w:t>
            </w:r>
          </w:p>
        </w:tc>
        <w:tc>
          <w:tcPr>
            <w:tcW w:type="dxa" w:w="1344"/>
          </w:tcPr>
          <w:p>
            <w:r/>
            <w:r>
              <w:rPr>
                <w:rFonts w:ascii="Times New Roman" w:hAnsi="Times New Roman"/>
                <w:sz w:val="20"/>
              </w:rPr>
              <w:t>2 160 000</w:t>
            </w:r>
          </w:p>
        </w:tc>
        <w:tc>
          <w:tcPr>
            <w:tcW w:type="dxa" w:w="1344"/>
          </w:tcPr>
          <w:p>
            <w:r/>
            <w:r>
              <w:rPr>
                <w:rFonts w:ascii="Times New Roman" w:hAnsi="Times New Roman"/>
                <w:sz w:val="20"/>
              </w:rPr>
              <w:t>3 600 000</w:t>
            </w:r>
          </w:p>
        </w:tc>
        <w:tc>
          <w:tcPr>
            <w:tcW w:type="dxa" w:w="1344"/>
          </w:tcPr>
          <w:p>
            <w:r/>
            <w:r>
              <w:rPr>
                <w:rFonts w:ascii="Times New Roman" w:hAnsi="Times New Roman"/>
                <w:sz w:val="20"/>
              </w:rPr>
              <w:t>5 040 000</w:t>
            </w:r>
          </w:p>
        </w:tc>
      </w:tr>
      <w:tr>
        <w:tc>
          <w:tcPr>
            <w:tcW w:type="dxa" w:w="1344"/>
          </w:tcPr>
          <w:p>
            <w:r/>
            <w:r>
              <w:rPr>
                <w:rFonts w:ascii="Times New Roman" w:hAnsi="Times New Roman"/>
                <w:sz w:val="20"/>
              </w:rPr>
              <w:t>Ventes C</w:t>
            </w:r>
          </w:p>
        </w:tc>
        <w:tc>
          <w:tcPr>
            <w:tcW w:type="dxa" w:w="1344"/>
          </w:tcPr>
          <w:p>
            <w:r/>
            <w:r>
              <w:rPr>
                <w:rFonts w:ascii="Times New Roman" w:hAnsi="Times New Roman"/>
                <w:sz w:val="20"/>
              </w:rPr>
              <w:t>72 000</w:t>
            </w:r>
          </w:p>
        </w:tc>
        <w:tc>
          <w:tcPr>
            <w:tcW w:type="dxa" w:w="1344"/>
          </w:tcPr>
          <w:p>
            <w:r/>
            <w:r>
              <w:rPr>
                <w:rFonts w:ascii="Times New Roman" w:hAnsi="Times New Roman"/>
                <w:sz w:val="20"/>
              </w:rPr>
              <w:t>192 000</w:t>
            </w:r>
          </w:p>
        </w:tc>
        <w:tc>
          <w:tcPr>
            <w:tcW w:type="dxa" w:w="1344"/>
          </w:tcPr>
          <w:p>
            <w:r/>
            <w:r>
              <w:rPr>
                <w:rFonts w:ascii="Times New Roman" w:hAnsi="Times New Roman"/>
                <w:sz w:val="20"/>
              </w:rPr>
              <w:t>480 000</w:t>
            </w:r>
          </w:p>
        </w:tc>
        <w:tc>
          <w:tcPr>
            <w:tcW w:type="dxa" w:w="1344"/>
          </w:tcPr>
          <w:p>
            <w:r/>
            <w:r>
              <w:rPr>
                <w:rFonts w:ascii="Times New Roman" w:hAnsi="Times New Roman"/>
                <w:sz w:val="20"/>
              </w:rPr>
              <w:t>840 000</w:t>
            </w:r>
          </w:p>
        </w:tc>
        <w:tc>
          <w:tcPr>
            <w:tcW w:type="dxa" w:w="1344"/>
          </w:tcPr>
          <w:p>
            <w:r/>
            <w:r>
              <w:rPr>
                <w:rFonts w:ascii="Times New Roman" w:hAnsi="Times New Roman"/>
                <w:sz w:val="20"/>
              </w:rPr>
              <w:t>1 320 000</w:t>
            </w:r>
          </w:p>
        </w:tc>
        <w:tc>
          <w:tcPr>
            <w:tcW w:type="dxa" w:w="1344"/>
          </w:tcPr>
          <w:p>
            <w:r/>
            <w:r>
              <w:rPr>
                <w:rFonts w:ascii="Times New Roman" w:hAnsi="Times New Roman"/>
                <w:sz w:val="20"/>
              </w:rPr>
              <w:t>1 800 000</w:t>
            </w:r>
          </w:p>
        </w:tc>
      </w:tr>
      <w:tr>
        <w:tc>
          <w:tcPr>
            <w:tcW w:type="dxa" w:w="1344"/>
          </w:tcPr>
          <w:p>
            <w:r/>
            <w:r>
              <w:rPr>
                <w:rFonts w:ascii="Times New Roman" w:hAnsi="Times New Roman"/>
                <w:sz w:val="20"/>
              </w:rPr>
              <w:t>CA global</w:t>
            </w:r>
          </w:p>
        </w:tc>
        <w:tc>
          <w:tcPr>
            <w:tcW w:type="dxa" w:w="1344"/>
          </w:tcPr>
          <w:p>
            <w:r/>
            <w:r>
              <w:rPr>
                <w:rFonts w:ascii="Times New Roman" w:hAnsi="Times New Roman"/>
                <w:sz w:val="20"/>
              </w:rPr>
              <w:t>752 000</w:t>
            </w:r>
          </w:p>
        </w:tc>
        <w:tc>
          <w:tcPr>
            <w:tcW w:type="dxa" w:w="1344"/>
          </w:tcPr>
          <w:p>
            <w:r/>
            <w:r>
              <w:rPr>
                <w:rFonts w:ascii="Times New Roman" w:hAnsi="Times New Roman"/>
                <w:sz w:val="20"/>
              </w:rPr>
              <w:t>2 232 000</w:t>
            </w:r>
          </w:p>
        </w:tc>
        <w:tc>
          <w:tcPr>
            <w:tcW w:type="dxa" w:w="1344"/>
          </w:tcPr>
          <w:p>
            <w:r/>
            <w:r>
              <w:rPr>
                <w:rFonts w:ascii="Times New Roman" w:hAnsi="Times New Roman"/>
                <w:sz w:val="20"/>
              </w:rPr>
              <w:t>5 240 000</w:t>
            </w:r>
          </w:p>
        </w:tc>
        <w:tc>
          <w:tcPr>
            <w:tcW w:type="dxa" w:w="1344"/>
          </w:tcPr>
          <w:p>
            <w:r/>
            <w:r>
              <w:rPr>
                <w:rFonts w:ascii="Times New Roman" w:hAnsi="Times New Roman"/>
                <w:sz w:val="20"/>
              </w:rPr>
              <w:t>10 500 000</w:t>
            </w:r>
          </w:p>
        </w:tc>
        <w:tc>
          <w:tcPr>
            <w:tcW w:type="dxa" w:w="1344"/>
          </w:tcPr>
          <w:p>
            <w:r/>
            <w:r>
              <w:rPr>
                <w:rFonts w:ascii="Times New Roman" w:hAnsi="Times New Roman"/>
                <w:sz w:val="20"/>
              </w:rPr>
              <w:t>17 920 000</w:t>
            </w:r>
          </w:p>
        </w:tc>
        <w:tc>
          <w:tcPr>
            <w:tcW w:type="dxa" w:w="1344"/>
          </w:tcPr>
          <w:p>
            <w:r/>
            <w:r>
              <w:rPr>
                <w:rFonts w:ascii="Times New Roman" w:hAnsi="Times New Roman"/>
                <w:sz w:val="20"/>
              </w:rPr>
              <w:t>24 840 000</w:t>
            </w:r>
          </w:p>
        </w:tc>
      </w:tr>
    </w:tbl>
    <w:p>
      <w:r>
        <w:rPr>
          <w:rFonts w:ascii="Times New Roman" w:hAnsi="Times New Roman"/>
          <w:b/>
          <w:sz w:val="24"/>
        </w:rPr>
        <w:t>3. Comptes de résultats escomptés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0"/>
              </w:rPr>
              <w:t>En DZD</w:t>
            </w:r>
          </w:p>
        </w:tc>
        <w:tc>
          <w:tcPr>
            <w:tcW w:type="dxa" w:w="2351"/>
            <w:shd w:fill="D9E2F3"/>
          </w:tcPr>
          <w:p>
            <w:pPr>
              <w:jc w:val="center"/>
            </w:pPr>
            <w:r/>
            <w:r>
              <w:rPr>
                <w:rFonts w:ascii="Times New Roman" w:hAnsi="Times New Roman"/>
                <w:b/>
                <w:sz w:val="20"/>
              </w:rPr>
              <w:t>N</w:t>
            </w:r>
          </w:p>
        </w:tc>
        <w:tc>
          <w:tcPr>
            <w:tcW w:type="dxa" w:w="2351"/>
            <w:shd w:fill="D9E2F3"/>
          </w:tcPr>
          <w:p>
            <w:pPr>
              <w:jc w:val="center"/>
            </w:pPr>
            <w:r/>
            <w:r>
              <w:rPr>
                <w:rFonts w:ascii="Times New Roman" w:hAnsi="Times New Roman"/>
                <w:b/>
                <w:sz w:val="20"/>
              </w:rPr>
              <w:t>N+1</w:t>
            </w:r>
          </w:p>
        </w:tc>
        <w:tc>
          <w:tcPr>
            <w:tcW w:type="dxa" w:w="2351"/>
            <w:shd w:fill="D9E2F3"/>
          </w:tcPr>
          <w:p>
            <w:pPr>
              <w:jc w:val="center"/>
            </w:pPr>
            <w:r/>
            <w:r>
              <w:rPr>
                <w:rFonts w:ascii="Times New Roman" w:hAnsi="Times New Roman"/>
                <w:b/>
                <w:sz w:val="20"/>
              </w:rPr>
              <w:t>N+2</w:t>
            </w:r>
          </w:p>
        </w:tc>
      </w:tr>
      <w:tr>
        <w:tc>
          <w:tcPr>
            <w:tcW w:type="dxa" w:w="2351"/>
          </w:tcPr>
          <w:p>
            <w:r/>
            <w:r>
              <w:rPr>
                <w:rFonts w:ascii="Times New Roman" w:hAnsi="Times New Roman"/>
                <w:sz w:val="20"/>
              </w:rPr>
              <w:t>Chiffre d'affaires</w:t>
            </w:r>
          </w:p>
        </w:tc>
        <w:tc>
          <w:tcPr>
            <w:tcW w:type="dxa" w:w="2351"/>
          </w:tcPr>
          <w:p>
            <w:r/>
            <w:r>
              <w:rPr>
                <w:rFonts w:ascii="Times New Roman" w:hAnsi="Times New Roman"/>
                <w:sz w:val="20"/>
              </w:rPr>
              <w:t>1 480 000</w:t>
            </w:r>
          </w:p>
        </w:tc>
        <w:tc>
          <w:tcPr>
            <w:tcW w:type="dxa" w:w="2351"/>
          </w:tcPr>
          <w:p>
            <w:r/>
            <w:r>
              <w:rPr>
                <w:rFonts w:ascii="Times New Roman" w:hAnsi="Times New Roman"/>
                <w:sz w:val="20"/>
              </w:rPr>
              <w:t>3 940 000</w:t>
            </w:r>
          </w:p>
        </w:tc>
        <w:tc>
          <w:tcPr>
            <w:tcW w:type="dxa" w:w="2351"/>
          </w:tcPr>
          <w:p>
            <w:r/>
            <w:r>
              <w:rPr>
                <w:rFonts w:ascii="Times New Roman" w:hAnsi="Times New Roman"/>
                <w:sz w:val="20"/>
              </w:rPr>
              <w:t>8 880 000</w:t>
            </w:r>
          </w:p>
        </w:tc>
      </w:tr>
      <w:tr>
        <w:tc>
          <w:tcPr>
            <w:tcW w:type="dxa" w:w="2351"/>
          </w:tcPr>
          <w:p>
            <w:r/>
            <w:r>
              <w:rPr>
                <w:rFonts w:ascii="Times New Roman" w:hAnsi="Times New Roman"/>
                <w:sz w:val="20"/>
              </w:rPr>
              <w:t>Charges d'exploitation</w:t>
            </w:r>
          </w:p>
        </w:tc>
        <w:tc>
          <w:tcPr>
            <w:tcW w:type="dxa" w:w="2351"/>
          </w:tcPr>
          <w:p>
            <w:r/>
            <w:r>
              <w:rPr>
                <w:rFonts w:ascii="Times New Roman" w:hAnsi="Times New Roman"/>
                <w:sz w:val="20"/>
              </w:rPr>
              <w:t>2 400 000</w:t>
            </w:r>
          </w:p>
        </w:tc>
        <w:tc>
          <w:tcPr>
            <w:tcW w:type="dxa" w:w="2351"/>
          </w:tcPr>
          <w:p>
            <w:r/>
            <w:r>
              <w:rPr>
                <w:rFonts w:ascii="Times New Roman" w:hAnsi="Times New Roman"/>
                <w:sz w:val="20"/>
              </w:rPr>
              <w:t>2 940 000</w:t>
            </w:r>
          </w:p>
        </w:tc>
        <w:tc>
          <w:tcPr>
            <w:tcW w:type="dxa" w:w="2351"/>
          </w:tcPr>
          <w:p>
            <w:r/>
            <w:r>
              <w:rPr>
                <w:rFonts w:ascii="Times New Roman" w:hAnsi="Times New Roman"/>
                <w:sz w:val="20"/>
              </w:rPr>
              <w:t>3 960 000</w:t>
            </w:r>
          </w:p>
        </w:tc>
      </w:tr>
      <w:tr>
        <w:tc>
          <w:tcPr>
            <w:tcW w:type="dxa" w:w="2351"/>
          </w:tcPr>
          <w:p>
            <w:r/>
            <w:r>
              <w:rPr>
                <w:rFonts w:ascii="Times New Roman" w:hAnsi="Times New Roman"/>
                <w:sz w:val="20"/>
              </w:rPr>
              <w:t>Résultat d'exploitation</w:t>
            </w:r>
          </w:p>
        </w:tc>
        <w:tc>
          <w:tcPr>
            <w:tcW w:type="dxa" w:w="2351"/>
          </w:tcPr>
          <w:p>
            <w:r/>
            <w:r>
              <w:rPr>
                <w:rFonts w:ascii="Times New Roman" w:hAnsi="Times New Roman"/>
                <w:sz w:val="20"/>
              </w:rPr>
              <w:t>-920 000</w:t>
            </w:r>
          </w:p>
        </w:tc>
        <w:tc>
          <w:tcPr>
            <w:tcW w:type="dxa" w:w="2351"/>
          </w:tcPr>
          <w:p>
            <w:r/>
            <w:r>
              <w:rPr>
                <w:rFonts w:ascii="Times New Roman" w:hAnsi="Times New Roman"/>
                <w:sz w:val="20"/>
              </w:rPr>
              <w:t>1 000 000</w:t>
            </w:r>
          </w:p>
        </w:tc>
        <w:tc>
          <w:tcPr>
            <w:tcW w:type="dxa" w:w="2351"/>
          </w:tcPr>
          <w:p>
            <w:r/>
            <w:r>
              <w:rPr>
                <w:rFonts w:ascii="Times New Roman" w:hAnsi="Times New Roman"/>
                <w:sz w:val="20"/>
              </w:rPr>
              <w:t>4 920 000</w:t>
            </w:r>
          </w:p>
        </w:tc>
      </w:tr>
      <w:tr>
        <w:tc>
          <w:tcPr>
            <w:tcW w:type="dxa" w:w="2351"/>
          </w:tcPr>
          <w:p>
            <w:r/>
            <w:r>
              <w:rPr>
                <w:rFonts w:ascii="Times New Roman" w:hAnsi="Times New Roman"/>
                <w:sz w:val="20"/>
              </w:rPr>
              <w:t>Résultat net</w:t>
            </w:r>
          </w:p>
        </w:tc>
        <w:tc>
          <w:tcPr>
            <w:tcW w:type="dxa" w:w="2351"/>
          </w:tcPr>
          <w:p>
            <w:r/>
            <w:r>
              <w:rPr>
                <w:rFonts w:ascii="Times New Roman" w:hAnsi="Times New Roman"/>
                <w:sz w:val="20"/>
              </w:rPr>
              <w:t>-920 000</w:t>
            </w:r>
          </w:p>
        </w:tc>
        <w:tc>
          <w:tcPr>
            <w:tcW w:type="dxa" w:w="2351"/>
          </w:tcPr>
          <w:p>
            <w:r/>
            <w:r>
              <w:rPr>
                <w:rFonts w:ascii="Times New Roman" w:hAnsi="Times New Roman"/>
                <w:sz w:val="20"/>
              </w:rPr>
              <w:t>1 000 000</w:t>
            </w:r>
          </w:p>
        </w:tc>
        <w:tc>
          <w:tcPr>
            <w:tcW w:type="dxa" w:w="2351"/>
          </w:tcPr>
          <w:p>
            <w:r/>
            <w:r>
              <w:rPr>
                <w:rFonts w:ascii="Times New Roman" w:hAnsi="Times New Roman"/>
                <w:sz w:val="20"/>
              </w:rPr>
              <w:t>4 920 000</w:t>
            </w:r>
          </w:p>
        </w:tc>
      </w:tr>
    </w:tbl>
    <w:p>
      <w:r>
        <w:rPr>
          <w:rFonts w:ascii="Times New Roman" w:hAnsi="Times New Roman"/>
          <w:b/>
          <w:sz w:val="24"/>
        </w:rPr>
        <w:t>4. Plan de trésorerie</w:t>
      </w:r>
    </w:p>
    <w:p>
      <w:r>
        <w:rPr>
          <w:rFonts w:ascii="Times New Roman" w:hAnsi="Times New Roman"/>
          <w:b w:val="0"/>
          <w:i w:val="0"/>
          <w:sz w:val="24"/>
        </w:rPr>
        <w:t>Trésorerie initiale estimée à 1 549 000 DA dès le premier mois (subvention + premiers abonnements). Les principales dépenses mensuelles concernent les salaires, le cloud, le marketing et les charges fixes. Le seuil de rentabilité est atteint à partir de N+1 dans le scénario optimiste.</w:t>
      </w:r>
    </w:p>
    <w:p>
      <w:r>
        <w:br w:type="page"/>
      </w:r>
    </w:p>
    <w:p>
      <w:pPr>
        <w:jc w:val="left"/>
      </w:pPr>
      <w:r>
        <w:rPr>
          <w:rFonts w:ascii="Times New Roman" w:hAnsi="Times New Roman"/>
          <w:b/>
          <w:color w:val="000000"/>
          <w:sz w:val="28"/>
        </w:rPr>
        <w:t>Sixième axe : Prototype expérimental</w:t>
      </w:r>
    </w:p>
    <w:p>
      <w:r>
        <w:rPr>
          <w:rFonts w:ascii="Times New Roman" w:hAnsi="Times New Roman"/>
          <w:b w:val="0"/>
          <w:i w:val="0"/>
          <w:sz w:val="24"/>
        </w:rPr>
        <w:t>Le prototype de Smart Healthy est une plateforme web fonctionnelle développée avec Next.js 16, React 19, Supabase (backend) et une base PostgreSQL de 18 tables protégées par Row Level Security (RLS).</w:t>
      </w:r>
    </w:p>
    <w:p>
      <w:r>
        <w:rPr>
          <w:rFonts w:ascii="Times New Roman" w:hAnsi="Times New Roman"/>
          <w:b/>
          <w:i w:val="0"/>
          <w:sz w:val="24"/>
        </w:rPr>
        <w:t>Fonctionnalités clés :</w:t>
      </w:r>
    </w:p>
    <w:p>
      <w:r>
        <w:rPr>
          <w:rFonts w:ascii="Times New Roman" w:hAnsi="Times New Roman"/>
          <w:b w:val="0"/>
          <w:i w:val="0"/>
          <w:sz w:val="24"/>
        </w:rPr>
        <w:t>• Onboarding personnalisé en 2 étapes (données biométriques + condition de santé)</w:t>
      </w:r>
    </w:p>
    <w:p>
      <w:r>
        <w:rPr>
          <w:rFonts w:ascii="Times New Roman" w:hAnsi="Times New Roman"/>
          <w:b w:val="0"/>
          <w:i w:val="0"/>
          <w:sz w:val="24"/>
        </w:rPr>
        <w:t>• Tableau de bord personnalisé (indicateurs, section « Pour vous », recette du jour, conseil du jour)</w:t>
      </w:r>
    </w:p>
    <w:p>
      <w:r>
        <w:rPr>
          <w:rFonts w:ascii="Times New Roman" w:hAnsi="Times New Roman"/>
          <w:b w:val="0"/>
          <w:i w:val="0"/>
          <w:sz w:val="24"/>
        </w:rPr>
        <w:t>• Catalogue de 1 012 produits classés par Nutri-Score et indice glycémique</w:t>
      </w:r>
    </w:p>
    <w:p>
      <w:r>
        <w:rPr>
          <w:rFonts w:ascii="Times New Roman" w:hAnsi="Times New Roman"/>
          <w:b w:val="0"/>
          <w:i w:val="0"/>
          <w:sz w:val="24"/>
        </w:rPr>
        <w:t>• Fiche produit détaillée avec compatibilité diabétique/cœliaque</w:t>
      </w:r>
    </w:p>
    <w:p>
      <w:r>
        <w:rPr>
          <w:rFonts w:ascii="Times New Roman" w:hAnsi="Times New Roman"/>
          <w:b w:val="0"/>
          <w:i w:val="0"/>
          <w:sz w:val="24"/>
        </w:rPr>
        <w:t>• Géolocalisation des commerces partenaires avec calcul d'itinéraire</w:t>
      </w:r>
    </w:p>
    <w:p>
      <w:r>
        <w:rPr>
          <w:rFonts w:ascii="Times New Roman" w:hAnsi="Times New Roman"/>
          <w:b w:val="0"/>
          <w:i w:val="0"/>
          <w:sz w:val="24"/>
        </w:rPr>
        <w:t>• Générateur de recettes personnalisées (filtres : faible IG, sans gluten, végétarien)</w:t>
      </w:r>
    </w:p>
    <w:p>
      <w:r>
        <w:rPr>
          <w:rFonts w:ascii="Times New Roman" w:hAnsi="Times New Roman"/>
          <w:b w:val="0"/>
          <w:i w:val="0"/>
          <w:sz w:val="24"/>
        </w:rPr>
        <w:t>• Contenu éducatif (articles, quiz) adapté à chaque pathologie</w:t>
      </w:r>
    </w:p>
    <w:p>
      <w:r>
        <w:rPr>
          <w:rFonts w:ascii="Times New Roman" w:hAnsi="Times New Roman"/>
          <w:b w:val="0"/>
          <w:i w:val="0"/>
          <w:sz w:val="24"/>
        </w:rPr>
        <w:t>• Espace partenaire B2B (tableau de bord, import CSV, gestion d'inventaire)</w:t>
      </w:r>
    </w:p>
    <w:p>
      <w:r>
        <w:rPr>
          <w:rFonts w:ascii="Times New Roman" w:hAnsi="Times New Roman"/>
          <w:b w:val="0"/>
          <w:i w:val="0"/>
          <w:sz w:val="24"/>
        </w:rPr>
        <w:t>• Liste de courses personnalisée avec suivi des articles</w:t>
      </w:r>
    </w:p>
    <w:p>
      <w:r>
        <w:rPr>
          <w:rFonts w:ascii="Times New Roman" w:hAnsi="Times New Roman"/>
          <w:b w:val="0"/>
          <w:i w:val="0"/>
          <w:sz w:val="24"/>
        </w:rPr>
      </w:r>
    </w:p>
    <w:p>
      <w:r>
        <w:rPr>
          <w:rFonts w:ascii="Times New Roman" w:hAnsi="Times New Roman"/>
          <w:b w:val="0"/>
          <w:i w:val="0"/>
          <w:sz w:val="24"/>
        </w:rPr>
        <w:t>Architecture technique : Frontend Next.js 16 / React 19 — Backend Supabase (BaaS) — Base PostgreSQL avec RLS — Authentification email/mot de passe + Google OAuth.</w:t>
      </w:r>
    </w:p>
    <w:p>
      <w:r>
        <w:br w:type="page"/>
      </w:r>
    </w:p>
    <w:p>
      <w:pPr>
        <w:jc w:val="left"/>
      </w:pPr>
      <w:r>
        <w:rPr>
          <w:rFonts w:ascii="Times New Roman" w:hAnsi="Times New Roman"/>
          <w:b/>
          <w:color w:val="000000"/>
          <w:sz w:val="28"/>
        </w:rPr>
        <w:t>Business Model Canvas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tcPr>
          <w:p>
            <w:pPr>
              <w:jc w:val="center"/>
            </w:pPr>
            <w:r/>
            <w:r>
              <w:rPr>
                <w:rFonts w:ascii="Times New Roman" w:hAnsi="Times New Roman"/>
                <w:b/>
                <w:sz w:val="18"/>
              </w:rPr>
              <w:t>Partenariats clés</w:t>
            </w:r>
          </w:p>
        </w:tc>
        <w:tc>
          <w:tcPr>
            <w:tcW w:type="dxa" w:w="1881"/>
            <w:shd w:fill="D9E2F3"/>
          </w:tcPr>
          <w:p>
            <w:pPr>
              <w:jc w:val="center"/>
            </w:pPr>
            <w:r/>
            <w:r>
              <w:rPr>
                <w:rFonts w:ascii="Times New Roman" w:hAnsi="Times New Roman"/>
                <w:b/>
                <w:sz w:val="18"/>
              </w:rPr>
              <w:t>Activités clés</w:t>
              <w:br/>
              <w:t>Ressources clés</w:t>
            </w:r>
          </w:p>
        </w:tc>
        <w:tc>
          <w:tcPr>
            <w:tcW w:type="dxa" w:w="1881"/>
            <w:shd w:fill="D9E2F3"/>
          </w:tcPr>
          <w:p>
            <w:pPr>
              <w:jc w:val="center"/>
            </w:pPr>
            <w:r/>
            <w:r>
              <w:rPr>
                <w:rFonts w:ascii="Times New Roman" w:hAnsi="Times New Roman"/>
                <w:b/>
                <w:sz w:val="18"/>
              </w:rPr>
              <w:t>Valeur fournie</w:t>
            </w:r>
          </w:p>
        </w:tc>
        <w:tc>
          <w:tcPr>
            <w:tcW w:type="dxa" w:w="1881"/>
            <w:shd w:fill="D9E2F3"/>
          </w:tcPr>
          <w:p>
            <w:pPr>
              <w:jc w:val="center"/>
            </w:pPr>
            <w:r/>
            <w:r>
              <w:rPr>
                <w:rFonts w:ascii="Times New Roman" w:hAnsi="Times New Roman"/>
                <w:b/>
                <w:sz w:val="18"/>
              </w:rPr>
              <w:t>Relation client</w:t>
              <w:br/>
              <w:t>Canaux</w:t>
            </w:r>
          </w:p>
        </w:tc>
        <w:tc>
          <w:tcPr>
            <w:tcW w:type="dxa" w:w="1881"/>
            <w:shd w:fill="D9E2F3"/>
          </w:tcPr>
          <w:p>
            <w:pPr>
              <w:jc w:val="center"/>
            </w:pPr>
            <w:r/>
            <w:r>
              <w:rPr>
                <w:rFonts w:ascii="Times New Roman" w:hAnsi="Times New Roman"/>
                <w:b/>
                <w:sz w:val="18"/>
              </w:rPr>
              <w:t>Segments de clientèle</w:t>
            </w:r>
          </w:p>
        </w:tc>
      </w:tr>
      <w:tr>
        <w:tc>
          <w:tcPr>
            <w:tcW w:type="dxa" w:w="1881"/>
          </w:tcPr>
          <w:p>
            <w:r/>
            <w:r>
              <w:rPr>
                <w:rFonts w:ascii="Times New Roman" w:hAnsi="Times New Roman"/>
                <w:sz w:val="16"/>
              </w:rPr>
              <w:t>Commerçants partenaires</w:t>
              <w:br/>
              <w:t>Nutritionniste partenaire</w:t>
              <w:br/>
              <w:t>Associations de patients</w:t>
              <w:br/>
              <w:t>Incubateurs universitaires</w:t>
              <w:br/>
              <w:t>Fournisseurs cloud (Supabase, Vercel)</w:t>
            </w:r>
          </w:p>
        </w:tc>
        <w:tc>
          <w:tcPr>
            <w:tcW w:type="dxa" w:w="1881"/>
          </w:tcPr>
          <w:p>
            <w:r/>
            <w:r>
              <w:rPr>
                <w:rFonts w:ascii="Times New Roman" w:hAnsi="Times New Roman"/>
                <w:sz w:val="16"/>
              </w:rPr>
              <w:t>Activités :</w:t>
              <w:br/>
              <w:t>• Développement &amp; maintenance</w:t>
              <w:br/>
              <w:t>• Classification nutritionnelle</w:t>
              <w:br/>
              <w:t>• Moteur de scoring</w:t>
              <w:br/>
              <w:t>• Gestion partenariats B2B</w:t>
              <w:br/>
              <w:t>• Marketing de traction</w:t>
              <w:br/>
              <w:br/>
              <w:t>Ressources :</w:t>
              <w:br/>
              <w:t>• Next.js 16 + React 19 + Supabase</w:t>
              <w:br/>
              <w:t>• PostgreSQL 18 tables (RLS)</w:t>
              <w:br/>
              <w:t>• Base produits algériens</w:t>
              <w:br/>
              <w:t>• Expertise IA/santé</w:t>
            </w:r>
          </w:p>
        </w:tc>
        <w:tc>
          <w:tcPr>
            <w:tcW w:type="dxa" w:w="1881"/>
          </w:tcPr>
          <w:p>
            <w:r/>
            <w:r>
              <w:rPr>
                <w:rFonts w:ascii="Times New Roman" w:hAnsi="Times New Roman"/>
                <w:sz w:val="16"/>
              </w:rPr>
              <w:t>• Recommandations nutritionnelles personnalisées</w:t>
              <w:br/>
              <w:t>• Catalogue produits algériens compatibles</w:t>
              <w:br/>
              <w:t>• Filtrage par pathologie</w:t>
              <w:br/>
              <w:t>• Contenu éducatif adapté</w:t>
              <w:br/>
              <w:t>• Accès aux soins nutritionnels</w:t>
              <w:br/>
              <w:t>• Réduction des risques alimentaires</w:t>
              <w:br/>
              <w:t>• Simplification des choix quotidiens</w:t>
            </w:r>
          </w:p>
        </w:tc>
        <w:tc>
          <w:tcPr>
            <w:tcW w:type="dxa" w:w="1881"/>
          </w:tcPr>
          <w:p>
            <w:r/>
            <w:r>
              <w:rPr>
                <w:rFonts w:ascii="Times New Roman" w:hAnsi="Times New Roman"/>
                <w:sz w:val="16"/>
              </w:rPr>
              <w:t>Relation :</w:t>
              <w:br/>
              <w:t>• Chat intégré</w:t>
              <w:br/>
              <w:t>• Notifications push</w:t>
              <w:br/>
              <w:t>• Newsletters</w:t>
              <w:br/>
              <w:t>• Profil santé personnalisé</w:t>
              <w:br/>
              <w:t>• Parcours onboarding guidé</w:t>
              <w:br/>
              <w:br/>
              <w:t>Canaux :</w:t>
              <w:br/>
              <w:t>• Plateforme web (responsive)</w:t>
              <w:br/>
              <w:t>• Réseaux sociaux, blog santé</w:t>
              <w:br/>
              <w:t>• QR codes en pharmacie</w:t>
              <w:br/>
              <w:t>• Associations de patients</w:t>
              <w:br/>
              <w:t>• Bouche-à-oreille</w:t>
            </w:r>
          </w:p>
        </w:tc>
        <w:tc>
          <w:tcPr>
            <w:tcW w:type="dxa" w:w="1881"/>
          </w:tcPr>
          <w:p>
            <w:r/>
            <w:r>
              <w:rPr>
                <w:rFonts w:ascii="Times New Roman" w:hAnsi="Times New Roman"/>
                <w:sz w:val="16"/>
              </w:rPr>
              <w:t>B2C :</w:t>
              <w:br/>
              <w:t>Patients diabétiques et cœliaques en Algérie</w:t>
              <w:br/>
              <w:br/>
              <w:t>B2B :</w:t>
              <w:br/>
              <w:t>Commerces spécialisés (diététiques, grandes surfaces, pharmacies)</w:t>
              <w:br/>
              <w:br/>
              <w:t>B2P :</w:t>
              <w:br/>
              <w:t>Nutritionnistes et professionnels de santé</w:t>
            </w:r>
          </w:p>
        </w:tc>
      </w:tr>
      <w:tr>
        <w:tc>
          <w:tcPr>
            <w:tcW w:type="dxa" w:w="5643"/>
            <w:gridSpan w:val="3"/>
            <w:shd w:fill="D9E2F3"/>
          </w:tcPr>
          <w:p>
            <w:r/>
            <w:r>
              <w:rPr>
                <w:rFonts w:ascii="Times New Roman" w:hAnsi="Times New Roman"/>
                <w:sz w:val="16"/>
              </w:rPr>
              <w:t>Investissement initial : 4 800 000 DZD</w:t>
              <w:br/>
              <w:t>• Développement tech : 2 000 000 DZD</w:t>
              <w:br/>
              <w:t>• Équipement/licences : 800 000 DZD</w:t>
              <w:br/>
              <w:t>• Marketing lancement : 700 000 DZD</w:t>
              <w:br/>
              <w:t>• Frais juridiques : 300 000 DZD</w:t>
              <w:br/>
              <w:t>• Réserve trésorerie : 1 000 000 DZD</w:t>
              <w:br/>
              <w:br/>
              <w:t>Charges annuelles :</w:t>
              <w:br/>
              <w:t>~2 400 000 DZD/an (salaires, cloud, marketing)</w:t>
            </w:r>
          </w:p>
        </w:tc>
        <w:tc>
          <w:tcPr>
            <w:tcW w:type="dxa" w:w="3762"/>
            <w:gridSpan w:val="2"/>
            <w:shd w:fill="D9E2F3"/>
          </w:tcPr>
          <w:p>
            <w:r/>
            <w:r>
              <w:rPr>
                <w:rFonts w:ascii="Times New Roman" w:hAnsi="Times New Roman"/>
                <w:b/>
                <w:sz w:val="18"/>
              </w:rPr>
              <w:t>Sources de revenus</w:t>
            </w:r>
            <w:r>
              <w:rPr>
                <w:rFonts w:ascii="Times New Roman" w:hAnsi="Times New Roman"/>
                <w:sz w:val="16"/>
              </w:rPr>
              <w:t>Produit A : Abonnement premium — 5 000 DZD/an</w:t>
              <w:br/>
              <w:t>Produit B : Abonnement partenaire — 36 000 DZD/an</w:t>
              <w:br/>
              <w:t>Produit C : Licence nutritionniste — 24 000 DZD/an</w:t>
              <w:br/>
              <w:br/>
              <w:t>CA cible N+5 (optimiste) :</w:t>
              <w:br/>
              <w:t>37 100 000 DZD</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