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686" w:rsidRPr="00D04686" w:rsidRDefault="00D04686" w:rsidP="00D04686">
      <w:pPr>
        <w:jc w:val="both"/>
        <w:rPr>
          <w:rFonts w:asciiTheme="majorHAnsi" w:hAnsiTheme="majorHAnsi"/>
          <w:b/>
          <w:bCs/>
          <w:iCs/>
        </w:rPr>
      </w:pPr>
      <w:r>
        <w:rPr>
          <w:rFonts w:asciiTheme="majorHAnsi" w:hAnsiTheme="majorHAnsi"/>
          <w:b/>
          <w:bCs/>
          <w:iCs/>
        </w:rPr>
        <w:t>Binary logistic r</w:t>
      </w:r>
      <w:bookmarkStart w:id="0" w:name="_GoBack"/>
      <w:bookmarkEnd w:id="0"/>
      <w:r>
        <w:rPr>
          <w:rFonts w:asciiTheme="majorHAnsi" w:hAnsiTheme="majorHAnsi"/>
          <w:b/>
          <w:bCs/>
          <w:iCs/>
        </w:rPr>
        <w:t>egression</w:t>
      </w:r>
    </w:p>
    <w:p w:rsidR="00D04686" w:rsidRPr="00D04686" w:rsidRDefault="00D04686" w:rsidP="00D04686">
      <w:pPr>
        <w:jc w:val="both"/>
        <w:rPr>
          <w:rFonts w:asciiTheme="majorHAnsi" w:hAnsiTheme="majorHAnsi"/>
          <w:i/>
        </w:rPr>
      </w:pPr>
      <w:r w:rsidRPr="00D04686">
        <w:rPr>
          <w:rFonts w:asciiTheme="majorHAnsi" w:hAnsiTheme="majorHAnsi"/>
          <w:i/>
        </w:rPr>
        <w:t>I carried out a data analysis on cognitive failure of groups of quarry factory workers resulting from their exposure to noise generated at four quarry factories. The affected workers were quarry machine operators. The failure was carried out based on their measured defective hearing threshold at various frequencies. The failure was measured on a scale that assessed the degrees of the failure into five scale measurements. A set of workers, which consisted of clerical and administrative workers at the factories, was used to validate the model. I was charged with prescribing and employing a model that should assign the quarry machine operators into two categories of cognitive state – a category of those with cognitive failure and the other category without it – based on the scale measurements. I prescribed and employed binary logistic regression model. A snapshot of variable transformation, data coding, model classification and prediction classification of a set of workers for model validation is as follows:</w:t>
      </w:r>
    </w:p>
    <w:p w:rsidR="00D04686" w:rsidRPr="00D04686" w:rsidRDefault="00D04686" w:rsidP="00D04686">
      <w:pPr>
        <w:rPr>
          <w:rFonts w:asciiTheme="majorHAnsi" w:eastAsia="PMingLiU" w:hAnsiTheme="majorHAnsi"/>
          <w:b/>
          <w:color w:val="000000"/>
          <w:lang w:eastAsia="en-GB"/>
        </w:rPr>
      </w:pPr>
      <w:r w:rsidRPr="00D04686">
        <w:rPr>
          <w:rFonts w:asciiTheme="majorHAnsi" w:eastAsia="PMingLiU" w:hAnsiTheme="majorHAnsi"/>
          <w:b/>
          <w:color w:val="000000"/>
          <w:lang w:eastAsia="en-GB"/>
        </w:rPr>
        <w:t>Method for Cognitive Failure Evaluation</w:t>
      </w:r>
    </w:p>
    <w:p w:rsidR="00D04686" w:rsidRPr="00D04686" w:rsidRDefault="00D04686" w:rsidP="00D04686">
      <w:pPr>
        <w:jc w:val="both"/>
        <w:rPr>
          <w:rFonts w:asciiTheme="majorHAnsi" w:hAnsiTheme="majorHAnsi"/>
        </w:rPr>
      </w:pPr>
      <w:r w:rsidRPr="00D04686">
        <w:rPr>
          <w:rFonts w:asciiTheme="majorHAnsi" w:eastAsia="PMingLiU" w:hAnsiTheme="majorHAnsi"/>
          <w:color w:val="000000"/>
          <w:lang w:eastAsia="en-GB"/>
        </w:rPr>
        <w:t xml:space="preserve">Cognitive failure, as a dependent variable for evaluation of workers cognitive ability thought to have </w:t>
      </w:r>
      <w:proofErr w:type="gramStart"/>
      <w:r w:rsidRPr="00D04686">
        <w:rPr>
          <w:rFonts w:asciiTheme="majorHAnsi" w:eastAsia="PMingLiU" w:hAnsiTheme="majorHAnsi"/>
          <w:color w:val="000000"/>
          <w:lang w:eastAsia="en-GB"/>
        </w:rPr>
        <w:t>been</w:t>
      </w:r>
      <w:proofErr w:type="gramEnd"/>
      <w:r w:rsidRPr="00D04686">
        <w:rPr>
          <w:rFonts w:asciiTheme="majorHAnsi" w:eastAsia="PMingLiU" w:hAnsiTheme="majorHAnsi"/>
          <w:color w:val="000000"/>
          <w:lang w:eastAsia="en-GB"/>
        </w:rPr>
        <w:t xml:space="preserve"> caused by organisation of their work environment and inherent risk factors, is based on </w:t>
      </w:r>
      <w:proofErr w:type="spellStart"/>
      <w:r w:rsidRPr="00D04686">
        <w:rPr>
          <w:rFonts w:asciiTheme="majorHAnsi" w:eastAsia="PMingLiU" w:hAnsiTheme="majorHAnsi"/>
          <w:color w:val="000000"/>
          <w:lang w:eastAsia="en-GB"/>
        </w:rPr>
        <w:t>Likert’s</w:t>
      </w:r>
      <w:proofErr w:type="spellEnd"/>
      <w:r w:rsidRPr="00D04686">
        <w:rPr>
          <w:rFonts w:asciiTheme="majorHAnsi" w:eastAsia="PMingLiU" w:hAnsiTheme="majorHAnsi"/>
          <w:color w:val="000000"/>
          <w:lang w:eastAsia="en-GB"/>
        </w:rPr>
        <w:t xml:space="preserve"> five-point scale. The scale measures workers’ responses to questions testing their cognitive efficiency with rating levels: </w:t>
      </w:r>
      <w:r w:rsidRPr="00D04686">
        <w:rPr>
          <w:rFonts w:asciiTheme="majorHAnsi" w:eastAsia="PMingLiU" w:hAnsiTheme="majorHAnsi"/>
          <w:i/>
          <w:color w:val="000000"/>
          <w:lang w:eastAsia="en-GB"/>
        </w:rPr>
        <w:t>very often, quite often, occasionally, very rarely and never</w:t>
      </w:r>
      <w:r w:rsidRPr="00D04686">
        <w:rPr>
          <w:rFonts w:asciiTheme="majorHAnsi" w:eastAsia="PMingLiU" w:hAnsiTheme="majorHAnsi"/>
          <w:color w:val="000000"/>
          <w:lang w:eastAsia="en-GB"/>
        </w:rPr>
        <w:t>. Each option is scored on interval values ranging from 5 to 1 as shown in the table below:</w:t>
      </w:r>
    </w:p>
    <w:tbl>
      <w:tblPr>
        <w:tblW w:w="9242" w:type="dxa"/>
        <w:tblCellMar>
          <w:left w:w="10" w:type="dxa"/>
          <w:right w:w="10" w:type="dxa"/>
        </w:tblCellMar>
        <w:tblLook w:val="0000" w:firstRow="0" w:lastRow="0" w:firstColumn="0" w:lastColumn="0" w:noHBand="0" w:noVBand="0"/>
      </w:tblPr>
      <w:tblGrid>
        <w:gridCol w:w="4621"/>
        <w:gridCol w:w="4621"/>
      </w:tblGrid>
      <w:tr w:rsidR="00D04686" w:rsidRPr="00D04686" w:rsidTr="006C50E4">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tabs>
                <w:tab w:val="left" w:pos="1110"/>
              </w:tabs>
              <w:spacing w:after="0" w:line="240" w:lineRule="auto"/>
              <w:rPr>
                <w:rFonts w:asciiTheme="majorHAnsi" w:eastAsia="PMingLiU" w:hAnsiTheme="majorHAnsi"/>
                <w:b/>
                <w:color w:val="000000"/>
                <w:lang w:val="en-GB" w:eastAsia="en-GB"/>
              </w:rPr>
            </w:pPr>
            <w:r w:rsidRPr="00D04686">
              <w:rPr>
                <w:rFonts w:asciiTheme="majorHAnsi" w:eastAsia="PMingLiU" w:hAnsiTheme="majorHAnsi"/>
                <w:b/>
                <w:color w:val="000000"/>
                <w:lang w:val="en-GB" w:eastAsia="en-GB"/>
              </w:rPr>
              <w:t xml:space="preserve">Scale  measurement </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b/>
                <w:color w:val="000000"/>
                <w:lang w:val="en-GB" w:eastAsia="en-GB"/>
              </w:rPr>
            </w:pPr>
            <w:r w:rsidRPr="00D04686">
              <w:rPr>
                <w:rFonts w:asciiTheme="majorHAnsi" w:eastAsia="PMingLiU" w:hAnsiTheme="majorHAnsi"/>
                <w:b/>
                <w:color w:val="000000"/>
                <w:lang w:val="en-GB" w:eastAsia="en-GB"/>
              </w:rPr>
              <w:t>Score</w:t>
            </w:r>
          </w:p>
        </w:tc>
      </w:tr>
      <w:tr w:rsidR="00D04686" w:rsidRPr="00D04686" w:rsidTr="006C50E4">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Very often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5</w:t>
            </w:r>
          </w:p>
        </w:tc>
      </w:tr>
      <w:tr w:rsidR="00D04686" w:rsidRPr="00D04686" w:rsidTr="006C50E4">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Quiet often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4</w:t>
            </w:r>
          </w:p>
        </w:tc>
      </w:tr>
      <w:tr w:rsidR="00D04686" w:rsidRPr="00D04686" w:rsidTr="006C50E4">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Occasionally</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3</w:t>
            </w:r>
          </w:p>
        </w:tc>
      </w:tr>
      <w:tr w:rsidR="00D04686" w:rsidRPr="00D04686" w:rsidTr="006C50E4">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Very rarely</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2</w:t>
            </w:r>
          </w:p>
        </w:tc>
      </w:tr>
      <w:tr w:rsidR="00D04686" w:rsidRPr="00D04686" w:rsidTr="006C50E4">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Never</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spacing w:after="0" w:line="240" w:lineRule="auto"/>
              <w:rPr>
                <w:rFonts w:asciiTheme="majorHAnsi" w:eastAsia="PMingLiU" w:hAnsiTheme="majorHAnsi"/>
                <w:color w:val="000000"/>
                <w:lang w:val="en-GB" w:eastAsia="en-GB"/>
              </w:rPr>
            </w:pPr>
            <w:r w:rsidRPr="00D04686">
              <w:rPr>
                <w:rFonts w:asciiTheme="majorHAnsi" w:eastAsia="PMingLiU" w:hAnsiTheme="majorHAnsi"/>
                <w:color w:val="000000"/>
                <w:lang w:val="en-GB" w:eastAsia="en-GB"/>
              </w:rPr>
              <w:t>1</w:t>
            </w:r>
          </w:p>
        </w:tc>
      </w:tr>
    </w:tbl>
    <w:p w:rsidR="00D04686" w:rsidRPr="00D04686" w:rsidRDefault="00D04686" w:rsidP="00D04686">
      <w:pPr>
        <w:jc w:val="both"/>
        <w:rPr>
          <w:rFonts w:asciiTheme="majorHAnsi" w:eastAsia="PMingLiU" w:hAnsiTheme="majorHAnsi"/>
          <w:color w:val="000000"/>
          <w:lang w:eastAsia="en-GB"/>
        </w:rPr>
      </w:pPr>
    </w:p>
    <w:p w:rsidR="00D04686" w:rsidRPr="00D04686" w:rsidRDefault="00D04686" w:rsidP="00D04686">
      <w:pPr>
        <w:jc w:val="both"/>
        <w:rPr>
          <w:rFonts w:asciiTheme="majorHAnsi" w:eastAsia="PMingLiU" w:hAnsiTheme="majorHAnsi"/>
          <w:color w:val="000000"/>
          <w:lang w:eastAsia="en-GB"/>
        </w:rPr>
      </w:pPr>
      <w:r w:rsidRPr="00D04686">
        <w:rPr>
          <w:rFonts w:asciiTheme="majorHAnsi" w:eastAsia="PMingLiU" w:hAnsiTheme="majorHAnsi"/>
          <w:color w:val="000000"/>
          <w:lang w:eastAsia="en-GB"/>
        </w:rPr>
        <w:t xml:space="preserve">The scale consisted of twenty-five questions. Each respondent was scored on the twenty-five questions. The highest value a respondent could score was 125 (25 multiplied 5) and the lowest 25 (25 multiplied by 1). Each respondent’s score was adjusted to reflect the overall scale score based on the values of the scale response rating, namely 5, 4, 3, 2 and 1. </w:t>
      </w:r>
    </w:p>
    <w:p w:rsidR="00D04686" w:rsidRPr="00D04686" w:rsidRDefault="00D04686" w:rsidP="00D04686">
      <w:pPr>
        <w:jc w:val="both"/>
        <w:rPr>
          <w:rFonts w:asciiTheme="majorHAnsi" w:hAnsiTheme="majorHAnsi"/>
        </w:rPr>
      </w:pPr>
      <w:r w:rsidRPr="00D04686">
        <w:rPr>
          <w:rFonts w:asciiTheme="majorHAnsi" w:eastAsia="PMingLiU" w:hAnsiTheme="majorHAnsi"/>
          <w:color w:val="000000"/>
          <w:lang w:eastAsia="en-GB"/>
        </w:rPr>
        <w:t xml:space="preserve">For the logistic regression used for cognitive failure modelling, those respondents with approximated scores of 5, 4 and 3 were assessed to possess sound cognitive ability and coded with 0s and those with scores of 2 and 1 (those with 40% or less) were assessed to suffer cognitive failure and coded 1s. </w:t>
      </w:r>
      <w:r w:rsidRPr="00D04686">
        <w:rPr>
          <w:rFonts w:asciiTheme="majorHAnsi" w:eastAsia="PMingLiU" w:hAnsiTheme="majorHAnsi"/>
          <w:color w:val="000000"/>
          <w:lang w:val="en-GB" w:eastAsia="en-GB"/>
        </w:rPr>
        <w:t xml:space="preserve">The coding was done in R language algorithm. </w:t>
      </w:r>
      <w:r w:rsidRPr="00D04686">
        <w:rPr>
          <w:rFonts w:asciiTheme="majorHAnsi" w:eastAsia="PMingLiU" w:hAnsiTheme="majorHAnsi"/>
          <w:color w:val="000000"/>
          <w:lang w:eastAsia="en-GB"/>
        </w:rPr>
        <w:t xml:space="preserve">     </w:t>
      </w:r>
    </w:p>
    <w:p w:rsidR="00D04686" w:rsidRPr="00D04686" w:rsidRDefault="00D04686" w:rsidP="00D04686">
      <w:pPr>
        <w:spacing w:line="240" w:lineRule="auto"/>
        <w:rPr>
          <w:rFonts w:asciiTheme="majorHAnsi" w:hAnsiTheme="majorHAnsi"/>
          <w:b/>
        </w:rPr>
      </w:pPr>
      <w:r w:rsidRPr="00D04686">
        <w:rPr>
          <w:rFonts w:asciiTheme="majorHAnsi" w:hAnsiTheme="majorHAnsi"/>
          <w:b/>
        </w:rPr>
        <w:t>Results of Binary Logistic Regression of Cognitive Failure and Age of Worker, Years of Exposure and Noise Level</w:t>
      </w:r>
    </w:p>
    <w:p w:rsidR="00D04686" w:rsidRPr="00D04686" w:rsidRDefault="00D04686" w:rsidP="00D04686">
      <w:pPr>
        <w:spacing w:line="240" w:lineRule="auto"/>
        <w:rPr>
          <w:rFonts w:asciiTheme="majorHAnsi" w:hAnsiTheme="majorHAnsi"/>
          <w:b/>
        </w:rPr>
      </w:pPr>
      <w:r w:rsidRPr="00D04686">
        <w:rPr>
          <w:rFonts w:asciiTheme="majorHAnsi" w:hAnsiTheme="majorHAnsi"/>
          <w:b/>
        </w:rPr>
        <w:t xml:space="preserve">Table 1:  </w:t>
      </w:r>
      <w:proofErr w:type="spellStart"/>
      <w:r w:rsidRPr="00D04686">
        <w:rPr>
          <w:rFonts w:asciiTheme="majorHAnsi" w:hAnsiTheme="majorHAnsi"/>
          <w:b/>
        </w:rPr>
        <w:t>Hosmer-Lemeshow</w:t>
      </w:r>
      <w:proofErr w:type="spellEnd"/>
      <w:r w:rsidRPr="00D04686">
        <w:rPr>
          <w:rFonts w:asciiTheme="majorHAnsi" w:hAnsiTheme="majorHAnsi"/>
          <w:b/>
        </w:rPr>
        <w:t xml:space="preserve"> Test of Model Fit</w:t>
      </w:r>
    </w:p>
    <w:tbl>
      <w:tblPr>
        <w:tblW w:w="8897" w:type="dxa"/>
        <w:tblLayout w:type="fixed"/>
        <w:tblCellMar>
          <w:left w:w="10" w:type="dxa"/>
          <w:right w:w="10" w:type="dxa"/>
        </w:tblCellMar>
        <w:tblLook w:val="0000" w:firstRow="0" w:lastRow="0" w:firstColumn="0" w:lastColumn="0" w:noHBand="0" w:noVBand="0"/>
      </w:tblPr>
      <w:tblGrid>
        <w:gridCol w:w="959"/>
        <w:gridCol w:w="1559"/>
        <w:gridCol w:w="2126"/>
        <w:gridCol w:w="4253"/>
      </w:tblGrid>
      <w:tr w:rsidR="00D04686" w:rsidRPr="00D04686" w:rsidTr="006C50E4">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b/>
                <w:color w:val="000000"/>
                <w:lang w:val="en-GB"/>
              </w:rPr>
            </w:pPr>
            <w:r w:rsidRPr="00D04686">
              <w:rPr>
                <w:rFonts w:asciiTheme="majorHAnsi" w:hAnsiTheme="majorHAnsi"/>
                <w:b/>
                <w:color w:val="000000"/>
                <w:lang w:val="en-GB"/>
              </w:rPr>
              <w:t>Step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Chi-square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proofErr w:type="spellStart"/>
            <w:r w:rsidRPr="00D04686">
              <w:rPr>
                <w:rFonts w:asciiTheme="majorHAnsi" w:hAnsiTheme="majorHAnsi"/>
                <w:b/>
                <w:color w:val="000000"/>
                <w:lang w:val="en-GB"/>
              </w:rPr>
              <w:t>Df</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Sig.</w:t>
            </w:r>
          </w:p>
        </w:tc>
      </w:tr>
      <w:tr w:rsidR="00D04686" w:rsidRPr="00D04686" w:rsidTr="006C50E4">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1.813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8</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0.986</w:t>
            </w:r>
          </w:p>
        </w:tc>
      </w:tr>
    </w:tbl>
    <w:p w:rsidR="00D04686" w:rsidRPr="00D04686" w:rsidRDefault="00D04686" w:rsidP="00D04686">
      <w:pPr>
        <w:autoSpaceDE w:val="0"/>
        <w:spacing w:after="0" w:line="240" w:lineRule="auto"/>
        <w:rPr>
          <w:rFonts w:asciiTheme="majorHAnsi" w:hAnsiTheme="majorHAnsi" w:cs="Times New Roman"/>
          <w:sz w:val="24"/>
          <w:szCs w:val="24"/>
        </w:rPr>
      </w:pPr>
    </w:p>
    <w:p w:rsidR="00D04686" w:rsidRPr="00D04686" w:rsidRDefault="00D04686" w:rsidP="00D04686">
      <w:pPr>
        <w:spacing w:line="240" w:lineRule="auto"/>
        <w:jc w:val="both"/>
        <w:rPr>
          <w:rFonts w:asciiTheme="majorHAnsi" w:hAnsiTheme="majorHAnsi"/>
        </w:rPr>
      </w:pPr>
      <w:r w:rsidRPr="00D04686">
        <w:rPr>
          <w:rFonts w:asciiTheme="majorHAnsi" w:hAnsiTheme="majorHAnsi"/>
        </w:rPr>
        <w:t xml:space="preserve">The </w:t>
      </w:r>
      <w:proofErr w:type="spellStart"/>
      <w:r w:rsidRPr="00D04686">
        <w:rPr>
          <w:rFonts w:asciiTheme="majorHAnsi" w:hAnsiTheme="majorHAnsi"/>
        </w:rPr>
        <w:t>Hosmer-Lemeshow</w:t>
      </w:r>
      <w:proofErr w:type="spellEnd"/>
      <w:r w:rsidRPr="00D04686">
        <w:rPr>
          <w:rFonts w:asciiTheme="majorHAnsi" w:hAnsiTheme="majorHAnsi"/>
        </w:rPr>
        <w:t xml:space="preserve"> statistics suggests a good fit, if the significance value is greater than 0.05. Since the significance value (0.986) is greater than 0.05, the logistic regression model fits the data adequately. </w:t>
      </w:r>
    </w:p>
    <w:p w:rsidR="00D04686" w:rsidRPr="00D04686" w:rsidRDefault="00D04686" w:rsidP="00D04686">
      <w:pPr>
        <w:spacing w:line="240" w:lineRule="auto"/>
        <w:jc w:val="both"/>
        <w:rPr>
          <w:rFonts w:asciiTheme="majorHAnsi" w:hAnsiTheme="majorHAnsi"/>
          <w:b/>
        </w:rPr>
      </w:pPr>
    </w:p>
    <w:p w:rsidR="00D04686" w:rsidRPr="00D04686" w:rsidRDefault="00D04686" w:rsidP="00D04686">
      <w:pPr>
        <w:spacing w:line="240" w:lineRule="auto"/>
        <w:jc w:val="both"/>
        <w:rPr>
          <w:rFonts w:asciiTheme="majorHAnsi" w:hAnsiTheme="majorHAnsi"/>
          <w:b/>
        </w:rPr>
      </w:pPr>
    </w:p>
    <w:p w:rsidR="00D04686" w:rsidRPr="00D04686" w:rsidRDefault="00D04686" w:rsidP="00D04686">
      <w:pPr>
        <w:spacing w:line="240" w:lineRule="auto"/>
        <w:jc w:val="both"/>
        <w:rPr>
          <w:rFonts w:asciiTheme="majorHAnsi" w:hAnsiTheme="majorHAnsi"/>
          <w:b/>
        </w:rPr>
      </w:pPr>
    </w:p>
    <w:p w:rsidR="00D04686" w:rsidRPr="00D04686" w:rsidRDefault="00D04686" w:rsidP="00D04686">
      <w:pPr>
        <w:spacing w:line="240" w:lineRule="auto"/>
        <w:jc w:val="both"/>
        <w:rPr>
          <w:rFonts w:asciiTheme="majorHAnsi" w:hAnsiTheme="majorHAnsi"/>
          <w:b/>
        </w:rPr>
      </w:pPr>
    </w:p>
    <w:p w:rsidR="00D04686" w:rsidRPr="00D04686" w:rsidRDefault="00D04686" w:rsidP="00D04686">
      <w:pPr>
        <w:spacing w:line="240" w:lineRule="auto"/>
        <w:jc w:val="both"/>
        <w:rPr>
          <w:rFonts w:asciiTheme="majorHAnsi" w:hAnsiTheme="majorHAnsi"/>
          <w:b/>
        </w:rPr>
      </w:pPr>
      <w:r w:rsidRPr="00D04686">
        <w:rPr>
          <w:rFonts w:asciiTheme="majorHAnsi" w:hAnsiTheme="majorHAnsi"/>
          <w:b/>
        </w:rPr>
        <w:t xml:space="preserve">Table 2: The Contingency Table for </w:t>
      </w:r>
      <w:proofErr w:type="spellStart"/>
      <w:r w:rsidRPr="00D04686">
        <w:rPr>
          <w:rFonts w:asciiTheme="majorHAnsi" w:hAnsiTheme="majorHAnsi"/>
          <w:b/>
        </w:rPr>
        <w:t>Hosmer-Lemeshow</w:t>
      </w:r>
      <w:proofErr w:type="spellEnd"/>
      <w:r w:rsidRPr="00D04686">
        <w:rPr>
          <w:rFonts w:asciiTheme="majorHAnsi" w:hAnsiTheme="majorHAnsi"/>
          <w:b/>
        </w:rPr>
        <w:t xml:space="preserve"> Test</w:t>
      </w:r>
    </w:p>
    <w:tbl>
      <w:tblPr>
        <w:tblW w:w="9606" w:type="dxa"/>
        <w:tblLayout w:type="fixed"/>
        <w:tblCellMar>
          <w:left w:w="10" w:type="dxa"/>
          <w:right w:w="10" w:type="dxa"/>
        </w:tblCellMar>
        <w:tblLook w:val="0000" w:firstRow="0" w:lastRow="0" w:firstColumn="0" w:lastColumn="0" w:noHBand="0" w:noVBand="0"/>
      </w:tblPr>
      <w:tblGrid>
        <w:gridCol w:w="728"/>
        <w:gridCol w:w="1365"/>
        <w:gridCol w:w="1843"/>
        <w:gridCol w:w="1417"/>
        <w:gridCol w:w="1985"/>
        <w:gridCol w:w="2268"/>
      </w:tblGrid>
      <w:tr w:rsidR="00D04686" w:rsidRPr="00D04686" w:rsidTr="006C50E4">
        <w:tc>
          <w:tcPr>
            <w:tcW w:w="72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right="60"/>
              <w:rPr>
                <w:rFonts w:asciiTheme="majorHAnsi" w:hAnsiTheme="majorHAnsi"/>
                <w:b/>
                <w:color w:val="000000"/>
                <w:lang w:val="en-GB"/>
              </w:rPr>
            </w:pPr>
            <w:r w:rsidRPr="00D04686">
              <w:rPr>
                <w:rFonts w:asciiTheme="majorHAnsi" w:hAnsiTheme="majorHAnsi"/>
                <w:b/>
                <w:color w:val="000000"/>
                <w:lang w:val="en-GB"/>
              </w:rPr>
              <w:t>Step</w:t>
            </w:r>
          </w:p>
        </w:tc>
        <w:tc>
          <w:tcPr>
            <w:tcW w:w="32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 xml:space="preserve"> Cognitive Failure = No</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 xml:space="preserve"> Cognitive Failure = Yes</w:t>
            </w:r>
          </w:p>
        </w:tc>
        <w:tc>
          <w:tcPr>
            <w:tcW w:w="226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Total</w:t>
            </w:r>
          </w:p>
        </w:tc>
      </w:tr>
      <w:tr w:rsidR="00D04686" w:rsidRPr="00D04686" w:rsidTr="006C50E4">
        <w:tc>
          <w:tcPr>
            <w:tcW w:w="72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b/>
                <w:color w:val="000000"/>
                <w:lang w:val="en-GB"/>
              </w:rPr>
            </w:pP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Observed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Expected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Observed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Expected</w:t>
            </w:r>
          </w:p>
        </w:tc>
        <w:tc>
          <w:tcPr>
            <w:tcW w:w="226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b/>
                <w:color w:val="000000"/>
                <w:lang w:val="en-GB"/>
              </w:rPr>
            </w:pP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1</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20.000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2</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20.000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3</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19.999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4</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19.997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5</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19.986</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.014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6</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19.918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.082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7</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19.557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.443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8</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17.855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2.145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9</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10.055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9.945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20</w:t>
            </w:r>
          </w:p>
        </w:tc>
      </w:tr>
      <w:tr w:rsidR="00D04686" w:rsidRPr="00D04686" w:rsidTr="006C50E4">
        <w:tc>
          <w:tcPr>
            <w:tcW w:w="7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10</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1.633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19.367</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21</w:t>
            </w:r>
          </w:p>
        </w:tc>
      </w:tr>
    </w:tbl>
    <w:p w:rsidR="00D04686" w:rsidRPr="00D04686" w:rsidRDefault="00D04686" w:rsidP="00D04686">
      <w:pPr>
        <w:autoSpaceDE w:val="0"/>
        <w:spacing w:after="0" w:line="240" w:lineRule="auto"/>
        <w:rPr>
          <w:rFonts w:asciiTheme="majorHAnsi" w:hAnsiTheme="majorHAnsi" w:cs="Times New Roman"/>
          <w:sz w:val="24"/>
          <w:szCs w:val="24"/>
        </w:rPr>
      </w:pPr>
    </w:p>
    <w:p w:rsidR="00D04686" w:rsidRPr="00D04686" w:rsidRDefault="00D04686" w:rsidP="00D04686">
      <w:pPr>
        <w:spacing w:line="240" w:lineRule="auto"/>
        <w:jc w:val="both"/>
        <w:rPr>
          <w:rFonts w:asciiTheme="majorHAnsi" w:hAnsiTheme="majorHAnsi"/>
          <w:b/>
        </w:rPr>
      </w:pPr>
      <w:r w:rsidRPr="00D04686">
        <w:rPr>
          <w:rFonts w:asciiTheme="majorHAnsi" w:hAnsiTheme="majorHAnsi"/>
          <w:b/>
        </w:rPr>
        <w:t xml:space="preserve">Table 3: Variable Not Included in the Equation at Step Zero </w:t>
      </w:r>
    </w:p>
    <w:tbl>
      <w:tblPr>
        <w:tblW w:w="9039" w:type="dxa"/>
        <w:tblLayout w:type="fixed"/>
        <w:tblCellMar>
          <w:left w:w="10" w:type="dxa"/>
          <w:right w:w="10" w:type="dxa"/>
        </w:tblCellMar>
        <w:tblLook w:val="0000" w:firstRow="0" w:lastRow="0" w:firstColumn="0" w:lastColumn="0" w:noHBand="0" w:noVBand="0"/>
      </w:tblPr>
      <w:tblGrid>
        <w:gridCol w:w="801"/>
        <w:gridCol w:w="2709"/>
        <w:gridCol w:w="1701"/>
        <w:gridCol w:w="1560"/>
        <w:gridCol w:w="2268"/>
      </w:tblGrid>
      <w:tr w:rsidR="00D04686" w:rsidRPr="00D04686" w:rsidTr="006C50E4">
        <w:trPr>
          <w:trHeight w:val="388"/>
        </w:trPr>
        <w:tc>
          <w:tcPr>
            <w:tcW w:w="8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b/>
                <w:color w:val="000000"/>
                <w:lang w:val="en-GB"/>
              </w:rPr>
            </w:pPr>
            <w:r w:rsidRPr="00D04686">
              <w:rPr>
                <w:rFonts w:asciiTheme="majorHAnsi" w:hAnsiTheme="majorHAnsi"/>
                <w:b/>
                <w:color w:val="000000"/>
                <w:lang w:val="en-GB"/>
              </w:rPr>
              <w:t xml:space="preserve">Step </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right="60"/>
              <w:rPr>
                <w:rFonts w:asciiTheme="majorHAnsi" w:hAnsiTheme="majorHAnsi"/>
                <w:b/>
                <w:color w:val="000000"/>
                <w:lang w:val="en-GB"/>
              </w:rPr>
            </w:pPr>
            <w:r w:rsidRPr="00D04686">
              <w:rPr>
                <w:rFonts w:asciiTheme="majorHAnsi" w:hAnsiTheme="majorHAnsi"/>
                <w:b/>
                <w:color w:val="000000"/>
                <w:lang w:val="en-GB"/>
              </w:rPr>
              <w:t>Variable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Score</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proofErr w:type="spellStart"/>
            <w:r w:rsidRPr="00D04686">
              <w:rPr>
                <w:rFonts w:asciiTheme="majorHAnsi" w:hAnsiTheme="majorHAnsi"/>
                <w:b/>
                <w:color w:val="000000"/>
                <w:lang w:val="en-GB"/>
              </w:rPr>
              <w:t>Df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Sig.</w:t>
            </w:r>
          </w:p>
        </w:tc>
      </w:tr>
      <w:tr w:rsidR="00D04686" w:rsidRPr="00D04686" w:rsidTr="006C50E4">
        <w:tc>
          <w:tcPr>
            <w:tcW w:w="8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0</w:t>
            </w:r>
          </w:p>
        </w:tc>
        <w:tc>
          <w:tcPr>
            <w:tcW w:w="270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Hearing loss</w:t>
            </w:r>
          </w:p>
          <w:p w:rsidR="00D04686" w:rsidRPr="00D04686" w:rsidRDefault="00D04686" w:rsidP="006C50E4">
            <w:pPr>
              <w:autoSpaceDE w:val="0"/>
              <w:spacing w:after="0" w:line="240" w:lineRule="auto"/>
              <w:ind w:right="60"/>
              <w:rPr>
                <w:rFonts w:asciiTheme="majorHAnsi" w:hAnsiTheme="majorHAnsi"/>
                <w:color w:val="000000"/>
                <w:lang w:val="en-GB"/>
              </w:rPr>
            </w:pPr>
            <w:r w:rsidRPr="00D04686">
              <w:rPr>
                <w:rFonts w:asciiTheme="majorHAnsi" w:hAnsiTheme="majorHAnsi"/>
                <w:color w:val="000000"/>
                <w:lang w:val="en-GB"/>
              </w:rPr>
              <w:t>Age of worker</w:t>
            </w:r>
          </w:p>
          <w:p w:rsidR="00D04686" w:rsidRPr="00D04686" w:rsidRDefault="00D04686" w:rsidP="006C50E4">
            <w:pPr>
              <w:autoSpaceDE w:val="0"/>
              <w:spacing w:after="0" w:line="240" w:lineRule="auto"/>
              <w:ind w:right="60"/>
              <w:rPr>
                <w:rFonts w:asciiTheme="majorHAnsi" w:hAnsiTheme="majorHAnsi"/>
                <w:color w:val="000000"/>
                <w:lang w:val="en-GB"/>
              </w:rPr>
            </w:pPr>
            <w:r w:rsidRPr="00D04686">
              <w:rPr>
                <w:rFonts w:asciiTheme="majorHAnsi" w:hAnsiTheme="majorHAnsi"/>
                <w:color w:val="000000"/>
                <w:lang w:val="en-GB"/>
              </w:rPr>
              <w:t>Years of exposure</w:t>
            </w:r>
          </w:p>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Noise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98.681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.000</w:t>
            </w:r>
          </w:p>
        </w:tc>
      </w:tr>
      <w:tr w:rsidR="00D04686" w:rsidRPr="00D04686" w:rsidTr="006C50E4">
        <w:tc>
          <w:tcPr>
            <w:tcW w:w="8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7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73.239</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.000</w:t>
            </w:r>
          </w:p>
        </w:tc>
      </w:tr>
      <w:tr w:rsidR="00D04686" w:rsidRPr="00D04686" w:rsidTr="006C50E4">
        <w:tc>
          <w:tcPr>
            <w:tcW w:w="8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7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74.215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.000</w:t>
            </w:r>
          </w:p>
        </w:tc>
      </w:tr>
      <w:tr w:rsidR="00D04686" w:rsidRPr="00D04686" w:rsidTr="006C50E4">
        <w:tc>
          <w:tcPr>
            <w:tcW w:w="8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7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9.952</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.002</w:t>
            </w:r>
          </w:p>
        </w:tc>
      </w:tr>
      <w:tr w:rsidR="00D04686" w:rsidRPr="00D04686" w:rsidTr="006C50E4">
        <w:tc>
          <w:tcPr>
            <w:tcW w:w="8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Overall Statistics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101.279</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.000</w:t>
            </w:r>
          </w:p>
        </w:tc>
      </w:tr>
    </w:tbl>
    <w:p w:rsidR="00D04686" w:rsidRPr="00D04686" w:rsidRDefault="00D04686" w:rsidP="00D04686">
      <w:pPr>
        <w:autoSpaceDE w:val="0"/>
        <w:spacing w:after="0" w:line="240" w:lineRule="auto"/>
        <w:rPr>
          <w:rFonts w:asciiTheme="majorHAnsi" w:hAnsiTheme="majorHAnsi" w:cs="Times New Roman"/>
          <w:sz w:val="24"/>
          <w:szCs w:val="24"/>
        </w:rPr>
      </w:pPr>
    </w:p>
    <w:p w:rsidR="00D04686" w:rsidRPr="00D04686" w:rsidRDefault="00D04686" w:rsidP="00D04686">
      <w:pPr>
        <w:spacing w:line="240" w:lineRule="auto"/>
        <w:rPr>
          <w:rFonts w:asciiTheme="majorHAnsi" w:hAnsiTheme="majorHAnsi"/>
        </w:rPr>
      </w:pPr>
      <w:r w:rsidRPr="00D04686">
        <w:rPr>
          <w:rFonts w:asciiTheme="majorHAnsi" w:hAnsiTheme="majorHAnsi"/>
        </w:rPr>
        <w:t>The method begins with model that does not include any of the predictors (table 3) and it only includes the intercept.</w:t>
      </w:r>
    </w:p>
    <w:p w:rsidR="00D04686" w:rsidRPr="00D04686" w:rsidRDefault="00D04686" w:rsidP="00D04686">
      <w:pPr>
        <w:spacing w:line="240" w:lineRule="auto"/>
        <w:rPr>
          <w:rFonts w:asciiTheme="majorHAnsi" w:hAnsiTheme="majorHAnsi"/>
          <w:b/>
        </w:rPr>
      </w:pPr>
      <w:r w:rsidRPr="00D04686">
        <w:rPr>
          <w:rFonts w:asciiTheme="majorHAnsi" w:hAnsiTheme="majorHAnsi"/>
          <w:b/>
        </w:rPr>
        <w:t>Table 4: R Statistics</w:t>
      </w:r>
    </w:p>
    <w:tbl>
      <w:tblPr>
        <w:tblW w:w="8188" w:type="dxa"/>
        <w:tblLayout w:type="fixed"/>
        <w:tblCellMar>
          <w:left w:w="10" w:type="dxa"/>
          <w:right w:w="10" w:type="dxa"/>
        </w:tblCellMar>
        <w:tblLook w:val="0000" w:firstRow="0" w:lastRow="0" w:firstColumn="0" w:lastColumn="0" w:noHBand="0" w:noVBand="0"/>
      </w:tblPr>
      <w:tblGrid>
        <w:gridCol w:w="817"/>
        <w:gridCol w:w="1843"/>
        <w:gridCol w:w="2268"/>
        <w:gridCol w:w="3260"/>
      </w:tblGrid>
      <w:tr w:rsidR="00D04686" w:rsidRPr="00D04686" w:rsidTr="006C50E4">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b/>
                <w:color w:val="000000"/>
                <w:lang w:val="en-GB"/>
              </w:rPr>
            </w:pPr>
            <w:r w:rsidRPr="00D04686">
              <w:rPr>
                <w:rFonts w:asciiTheme="majorHAnsi" w:hAnsiTheme="majorHAnsi"/>
                <w:b/>
                <w:color w:val="000000"/>
                <w:lang w:val="en-GB"/>
              </w:rPr>
              <w:t>Step</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-2 Log likelihood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Cox &amp; Snell R Square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proofErr w:type="spellStart"/>
            <w:r w:rsidRPr="00D04686">
              <w:rPr>
                <w:rFonts w:asciiTheme="majorHAnsi" w:hAnsiTheme="majorHAnsi"/>
                <w:b/>
                <w:color w:val="000000"/>
                <w:lang w:val="en-GB"/>
              </w:rPr>
              <w:t>Nagelkerke</w:t>
            </w:r>
            <w:proofErr w:type="spellEnd"/>
            <w:r w:rsidRPr="00D04686">
              <w:rPr>
                <w:rFonts w:asciiTheme="majorHAnsi" w:hAnsiTheme="majorHAnsi"/>
                <w:b/>
                <w:color w:val="000000"/>
                <w:lang w:val="en-GB"/>
              </w:rPr>
              <w:t xml:space="preserve"> R Square</w:t>
            </w:r>
          </w:p>
        </w:tc>
      </w:tr>
      <w:tr w:rsidR="00D04686" w:rsidRPr="00D04686" w:rsidTr="006C50E4">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54.143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.455</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.780</w:t>
            </w:r>
          </w:p>
        </w:tc>
      </w:tr>
    </w:tbl>
    <w:p w:rsidR="00D04686" w:rsidRPr="00D04686" w:rsidRDefault="00D04686" w:rsidP="00D04686">
      <w:pPr>
        <w:autoSpaceDE w:val="0"/>
        <w:spacing w:after="0" w:line="240" w:lineRule="auto"/>
        <w:rPr>
          <w:rFonts w:asciiTheme="majorHAnsi" w:hAnsiTheme="majorHAnsi" w:cs="Times New Roman"/>
          <w:sz w:val="24"/>
          <w:szCs w:val="24"/>
        </w:rPr>
      </w:pPr>
    </w:p>
    <w:p w:rsidR="00D04686" w:rsidRPr="00D04686" w:rsidRDefault="00D04686" w:rsidP="00D04686">
      <w:pPr>
        <w:spacing w:line="240" w:lineRule="auto"/>
        <w:jc w:val="both"/>
        <w:rPr>
          <w:rFonts w:asciiTheme="majorHAnsi" w:hAnsiTheme="majorHAnsi"/>
        </w:rPr>
      </w:pPr>
      <w:r w:rsidRPr="00D04686">
        <w:rPr>
          <w:rFonts w:asciiTheme="majorHAnsi" w:hAnsiTheme="majorHAnsi"/>
        </w:rPr>
        <w:t xml:space="preserve">In linear regression model the coefficient of determination R square summarises proportion of dependent variable that is accounted for by the independent variable, with larger value indicating higher proportion of explanation of dependent variable by the model to a maximum of 1 (100%). For regression model with categorical dependent variable, such as logistic regression used, it is impossible to compute a single R squared value that includes all its properties in the linear regression model. The only feasible way is computation of Cox and Snell R and </w:t>
      </w:r>
      <w:proofErr w:type="spellStart"/>
      <w:r w:rsidRPr="00D04686">
        <w:rPr>
          <w:rFonts w:asciiTheme="majorHAnsi" w:hAnsiTheme="majorHAnsi"/>
        </w:rPr>
        <w:t>Nagelkerke’s</w:t>
      </w:r>
      <w:proofErr w:type="spellEnd"/>
      <w:r w:rsidRPr="00D04686">
        <w:rPr>
          <w:rFonts w:asciiTheme="majorHAnsi" w:hAnsiTheme="majorHAnsi"/>
        </w:rPr>
        <w:t xml:space="preserve"> R square approximations presented in table 4 above. Cox and Snell’s R squared (1989) is based on the log likelihood for model compared to the log likelihood for a baseline model. However, with category input relationship it has a theoretical maximum value of less than 1, even for perfect relationship. </w:t>
      </w:r>
      <w:proofErr w:type="spellStart"/>
      <w:r w:rsidRPr="00D04686">
        <w:rPr>
          <w:rFonts w:asciiTheme="majorHAnsi" w:hAnsiTheme="majorHAnsi"/>
        </w:rPr>
        <w:t>Nagelkerke’s</w:t>
      </w:r>
      <w:proofErr w:type="spellEnd"/>
      <w:r w:rsidRPr="00D04686">
        <w:rPr>
          <w:rFonts w:asciiTheme="majorHAnsi" w:hAnsiTheme="majorHAnsi"/>
        </w:rPr>
        <w:t xml:space="preserve"> R square value is adjusted value of Cox and Snell R squared to cover the full range from 0 to 1. Cox and Snell and </w:t>
      </w:r>
      <w:proofErr w:type="spellStart"/>
      <w:r w:rsidRPr="00D04686">
        <w:rPr>
          <w:rFonts w:asciiTheme="majorHAnsi" w:hAnsiTheme="majorHAnsi"/>
        </w:rPr>
        <w:t>Nagelkerke</w:t>
      </w:r>
      <w:proofErr w:type="spellEnd"/>
      <w:r w:rsidRPr="00D04686">
        <w:rPr>
          <w:rFonts w:asciiTheme="majorHAnsi" w:hAnsiTheme="majorHAnsi"/>
        </w:rPr>
        <w:t xml:space="preserve"> R squared values are 0.455 and 0.780 respectively. This model has as the independent variables (the factors) – age of worker, years of exposure and noise level. Using </w:t>
      </w:r>
      <w:proofErr w:type="spellStart"/>
      <w:r w:rsidRPr="00D04686">
        <w:rPr>
          <w:rFonts w:asciiTheme="majorHAnsi" w:hAnsiTheme="majorHAnsi"/>
        </w:rPr>
        <w:t>Nagelkerke’s</w:t>
      </w:r>
      <w:proofErr w:type="spellEnd"/>
      <w:r w:rsidRPr="00D04686">
        <w:rPr>
          <w:rFonts w:asciiTheme="majorHAnsi" w:hAnsiTheme="majorHAnsi"/>
        </w:rPr>
        <w:t xml:space="preserve"> R squared </w:t>
      </w:r>
      <w:r w:rsidRPr="00D04686">
        <w:rPr>
          <w:rFonts w:asciiTheme="majorHAnsi" w:hAnsiTheme="majorHAnsi"/>
        </w:rPr>
        <w:lastRenderedPageBreak/>
        <w:t xml:space="preserve">for full range of 0 to 1, hearing loss, age of worker, years of exposure and noise level explains 78% variation in cognitive failure; that is the three variables are accountable for 78% of the cognitive failure of workers, while 22% are explained by unidentified variables not included in the modelling. </w:t>
      </w:r>
    </w:p>
    <w:p w:rsidR="00D04686" w:rsidRPr="00D04686" w:rsidRDefault="00D04686" w:rsidP="00D04686">
      <w:pPr>
        <w:spacing w:line="240" w:lineRule="auto"/>
        <w:jc w:val="both"/>
        <w:rPr>
          <w:rFonts w:asciiTheme="majorHAnsi" w:hAnsiTheme="majorHAnsi"/>
        </w:rPr>
      </w:pPr>
      <w:r w:rsidRPr="00D04686">
        <w:rPr>
          <w:rFonts w:asciiTheme="majorHAnsi" w:hAnsiTheme="majorHAnsi"/>
        </w:rPr>
        <w:t xml:space="preserve">For the purpose of hypothesis test, the null hypothesis is rejected and the alternative upheld. Upholding the alternative implies that hearing loss, age of worker, years of exposure and noise level can predict cognitive failure of workers under study. </w:t>
      </w: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b/>
        </w:rPr>
      </w:pPr>
      <w:r w:rsidRPr="00D04686">
        <w:rPr>
          <w:rFonts w:asciiTheme="majorHAnsi" w:hAnsiTheme="majorHAnsi"/>
          <w:b/>
        </w:rPr>
        <w:t>Table 5: Classification of Selected Cases of Respondents</w:t>
      </w:r>
    </w:p>
    <w:tbl>
      <w:tblPr>
        <w:tblW w:w="13260" w:type="dxa"/>
        <w:tblLayout w:type="fixed"/>
        <w:tblCellMar>
          <w:left w:w="10" w:type="dxa"/>
          <w:right w:w="10" w:type="dxa"/>
        </w:tblCellMar>
        <w:tblLook w:val="0000" w:firstRow="0" w:lastRow="0" w:firstColumn="0" w:lastColumn="0" w:noHBand="0" w:noVBand="0"/>
      </w:tblPr>
      <w:tblGrid>
        <w:gridCol w:w="869"/>
        <w:gridCol w:w="2629"/>
        <w:gridCol w:w="1146"/>
        <w:gridCol w:w="1318"/>
        <w:gridCol w:w="809"/>
        <w:gridCol w:w="2409"/>
        <w:gridCol w:w="2499"/>
        <w:gridCol w:w="1581"/>
      </w:tblGrid>
      <w:tr w:rsidR="00D04686" w:rsidRPr="00D04686" w:rsidTr="006C50E4">
        <w:tc>
          <w:tcPr>
            <w:tcW w:w="86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b/>
                <w:color w:val="000000"/>
                <w:lang w:val="en-GB"/>
              </w:rPr>
            </w:pPr>
          </w:p>
          <w:p w:rsidR="00D04686" w:rsidRPr="00D04686" w:rsidRDefault="00D04686" w:rsidP="006C50E4">
            <w:pPr>
              <w:autoSpaceDE w:val="0"/>
              <w:spacing w:after="0" w:line="240" w:lineRule="auto"/>
              <w:rPr>
                <w:rFonts w:asciiTheme="majorHAnsi" w:hAnsiTheme="majorHAnsi"/>
                <w:b/>
                <w:color w:val="000000"/>
                <w:lang w:val="en-GB"/>
              </w:rPr>
            </w:pPr>
          </w:p>
          <w:p w:rsidR="00D04686" w:rsidRPr="00D04686" w:rsidRDefault="00D04686" w:rsidP="006C50E4">
            <w:pPr>
              <w:autoSpaceDE w:val="0"/>
              <w:spacing w:after="0" w:line="240" w:lineRule="auto"/>
              <w:rPr>
                <w:rFonts w:asciiTheme="majorHAnsi" w:hAnsiTheme="majorHAnsi"/>
                <w:b/>
                <w:color w:val="000000"/>
                <w:lang w:val="en-GB"/>
              </w:rPr>
            </w:pPr>
          </w:p>
          <w:p w:rsidR="00D04686" w:rsidRPr="00D04686" w:rsidRDefault="00D04686" w:rsidP="006C50E4">
            <w:pPr>
              <w:autoSpaceDE w:val="0"/>
              <w:spacing w:after="0" w:line="240" w:lineRule="auto"/>
              <w:rPr>
                <w:rFonts w:asciiTheme="majorHAnsi" w:hAnsiTheme="majorHAnsi"/>
                <w:b/>
                <w:color w:val="000000"/>
                <w:lang w:val="en-GB"/>
              </w:rPr>
            </w:pPr>
          </w:p>
          <w:p w:rsidR="00D04686" w:rsidRPr="00D04686" w:rsidRDefault="00D04686" w:rsidP="006C50E4">
            <w:pPr>
              <w:autoSpaceDE w:val="0"/>
              <w:spacing w:after="0" w:line="240" w:lineRule="auto"/>
              <w:rPr>
                <w:rFonts w:asciiTheme="majorHAnsi" w:hAnsiTheme="majorHAnsi"/>
                <w:b/>
                <w:color w:val="000000"/>
                <w:lang w:val="en-GB"/>
              </w:rPr>
            </w:pPr>
          </w:p>
          <w:p w:rsidR="00D04686" w:rsidRPr="00D04686" w:rsidRDefault="00D04686" w:rsidP="006C50E4">
            <w:pPr>
              <w:autoSpaceDE w:val="0"/>
              <w:spacing w:after="0" w:line="240" w:lineRule="auto"/>
              <w:rPr>
                <w:rFonts w:asciiTheme="majorHAnsi" w:hAnsiTheme="majorHAnsi"/>
                <w:b/>
                <w:color w:val="000000"/>
                <w:lang w:val="en-GB"/>
              </w:rPr>
            </w:pPr>
            <w:r w:rsidRPr="00D04686">
              <w:rPr>
                <w:rFonts w:asciiTheme="majorHAnsi" w:hAnsiTheme="majorHAnsi"/>
                <w:b/>
                <w:color w:val="000000"/>
                <w:lang w:val="en-GB"/>
              </w:rPr>
              <w:t>Step</w:t>
            </w:r>
          </w:p>
        </w:tc>
        <w:tc>
          <w:tcPr>
            <w:tcW w:w="37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b/>
                <w:color w:val="000000"/>
                <w:lang w:val="en-GB"/>
              </w:rPr>
            </w:pPr>
          </w:p>
          <w:p w:rsidR="00D04686" w:rsidRPr="00D04686" w:rsidRDefault="00D04686" w:rsidP="006C50E4">
            <w:pPr>
              <w:autoSpaceDE w:val="0"/>
              <w:spacing w:after="0" w:line="240" w:lineRule="auto"/>
              <w:ind w:left="60" w:right="60"/>
              <w:rPr>
                <w:rFonts w:asciiTheme="majorHAnsi" w:hAnsiTheme="majorHAnsi"/>
                <w:b/>
                <w:color w:val="000000"/>
                <w:lang w:val="en-GB"/>
              </w:rPr>
            </w:pPr>
          </w:p>
          <w:p w:rsidR="00D04686" w:rsidRPr="00D04686" w:rsidRDefault="00D04686" w:rsidP="006C50E4">
            <w:pPr>
              <w:autoSpaceDE w:val="0"/>
              <w:spacing w:after="0" w:line="240" w:lineRule="auto"/>
              <w:ind w:left="60" w:right="60"/>
              <w:rPr>
                <w:rFonts w:asciiTheme="majorHAnsi" w:hAnsiTheme="majorHAnsi"/>
                <w:b/>
                <w:color w:val="000000"/>
                <w:lang w:val="en-GB"/>
              </w:rPr>
            </w:pPr>
          </w:p>
          <w:p w:rsidR="00D04686" w:rsidRPr="00D04686" w:rsidRDefault="00D04686" w:rsidP="006C50E4">
            <w:pPr>
              <w:autoSpaceDE w:val="0"/>
              <w:spacing w:after="0" w:line="240" w:lineRule="auto"/>
              <w:ind w:left="60" w:right="60"/>
              <w:rPr>
                <w:rFonts w:asciiTheme="majorHAnsi" w:hAnsiTheme="majorHAnsi"/>
                <w:b/>
                <w:color w:val="000000"/>
                <w:lang w:val="en-GB"/>
              </w:rPr>
            </w:pPr>
          </w:p>
          <w:p w:rsidR="00D04686" w:rsidRPr="00D04686" w:rsidRDefault="00D04686" w:rsidP="006C50E4">
            <w:pPr>
              <w:autoSpaceDE w:val="0"/>
              <w:spacing w:after="0" w:line="240" w:lineRule="auto"/>
              <w:ind w:left="60" w:right="60"/>
              <w:rPr>
                <w:rFonts w:asciiTheme="majorHAnsi" w:hAnsiTheme="majorHAnsi"/>
                <w:b/>
                <w:color w:val="000000"/>
                <w:lang w:val="en-GB"/>
              </w:rPr>
            </w:pPr>
            <w:r w:rsidRPr="00D04686">
              <w:rPr>
                <w:rFonts w:asciiTheme="majorHAnsi" w:hAnsiTheme="majorHAnsi"/>
                <w:b/>
                <w:color w:val="000000"/>
                <w:lang w:val="en-GB"/>
              </w:rPr>
              <w:t>Observed</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Predicted</w:t>
            </w:r>
          </w:p>
        </w:tc>
        <w:tc>
          <w:tcPr>
            <w:tcW w:w="4080" w:type="dxa"/>
            <w:gridSpan w:val="2"/>
            <w:vMerge w:val="restart"/>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377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Selected Cases</w:t>
            </w:r>
          </w:p>
        </w:tc>
        <w:tc>
          <w:tcPr>
            <w:tcW w:w="4080" w:type="dxa"/>
            <w:gridSpan w:val="2"/>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377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 xml:space="preserve"> Cognitive failure</w:t>
            </w:r>
          </w:p>
        </w:tc>
        <w:tc>
          <w:tcPr>
            <w:tcW w:w="240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Percentage Correct</w:t>
            </w:r>
          </w:p>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 xml:space="preserve"> </w:t>
            </w:r>
          </w:p>
        </w:tc>
        <w:tc>
          <w:tcPr>
            <w:tcW w:w="2499" w:type="dxa"/>
            <w:vMerge w:val="restart"/>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36</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3</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w:t>
            </w:r>
          </w:p>
        </w:tc>
        <w:tc>
          <w:tcPr>
            <w:tcW w:w="158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r w:rsidRPr="00D04686">
              <w:rPr>
                <w:rFonts w:asciiTheme="majorHAnsi" w:hAnsiTheme="majorHAnsi"/>
                <w:color w:val="000000"/>
                <w:lang w:val="en-GB"/>
              </w:rPr>
              <w:t>Percentage Correct</w:t>
            </w: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377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r w:rsidRPr="00D04686">
              <w:rPr>
                <w:rFonts w:asciiTheme="majorHAnsi" w:hAnsiTheme="majorHAnsi"/>
                <w:color w:val="000000"/>
                <w:lang w:val="en-GB"/>
              </w:rPr>
              <w:t>No</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Yes</w:t>
            </w:r>
          </w:p>
        </w:tc>
        <w:tc>
          <w:tcPr>
            <w:tcW w:w="24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p>
        </w:tc>
        <w:tc>
          <w:tcPr>
            <w:tcW w:w="2499"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158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r>
      <w:tr w:rsidR="00D04686" w:rsidRPr="00D04686" w:rsidTr="006C50E4">
        <w:tc>
          <w:tcPr>
            <w:tcW w:w="86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 xml:space="preserve"> 1</w:t>
            </w:r>
          </w:p>
        </w:tc>
        <w:tc>
          <w:tcPr>
            <w:tcW w:w="262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right="60"/>
              <w:rPr>
                <w:rFonts w:asciiTheme="majorHAnsi" w:hAnsiTheme="majorHAnsi"/>
                <w:color w:val="000000"/>
                <w:lang w:val="en-GB"/>
              </w:rPr>
            </w:pPr>
            <w:r w:rsidRPr="00D04686">
              <w:rPr>
                <w:rFonts w:asciiTheme="majorHAnsi" w:hAnsiTheme="majorHAnsi"/>
                <w:color w:val="000000"/>
                <w:lang w:val="en-GB"/>
              </w:rPr>
              <w:t>Cognitive failure</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No</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164</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5</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97.0</w:t>
            </w:r>
          </w:p>
        </w:tc>
        <w:tc>
          <w:tcPr>
            <w:tcW w:w="2499"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94.4</w:t>
            </w: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62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Yes</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6</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26</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81.3</w:t>
            </w:r>
          </w:p>
        </w:tc>
        <w:tc>
          <w:tcPr>
            <w:tcW w:w="2499"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158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80.0</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92.7</w:t>
            </w: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62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Overall Percentage</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right="60"/>
              <w:rPr>
                <w:rFonts w:asciiTheme="majorHAnsi" w:hAnsiTheme="majorHAnsi"/>
                <w:color w:val="000000"/>
                <w:lang w:val="en-GB"/>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s="Times New Roman"/>
                <w:lang w:val="en-GB"/>
              </w:rPr>
            </w:pPr>
          </w:p>
        </w:tc>
        <w:tc>
          <w:tcPr>
            <w:tcW w:w="80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s="Times New Roman"/>
                <w:lang w:val="en-GB"/>
              </w:rPr>
            </w:pPr>
          </w:p>
        </w:tc>
        <w:tc>
          <w:tcPr>
            <w:tcW w:w="240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94.5</w:t>
            </w:r>
          </w:p>
        </w:tc>
        <w:tc>
          <w:tcPr>
            <w:tcW w:w="2499"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s="Times New Roman"/>
                <w:lang w:val="en-GB"/>
              </w:rPr>
            </w:pPr>
          </w:p>
        </w:tc>
        <w:tc>
          <w:tcPr>
            <w:tcW w:w="158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r>
    </w:tbl>
    <w:p w:rsidR="00D04686" w:rsidRPr="00D04686" w:rsidRDefault="00D04686" w:rsidP="00D04686">
      <w:pPr>
        <w:spacing w:line="240" w:lineRule="auto"/>
        <w:jc w:val="both"/>
        <w:rPr>
          <w:rFonts w:asciiTheme="majorHAnsi" w:hAnsiTheme="majorHAnsi"/>
          <w:b/>
        </w:rPr>
      </w:pPr>
    </w:p>
    <w:p w:rsidR="00D04686" w:rsidRPr="00D04686" w:rsidRDefault="00D04686" w:rsidP="00D04686">
      <w:pPr>
        <w:spacing w:line="240" w:lineRule="auto"/>
        <w:jc w:val="both"/>
        <w:rPr>
          <w:rFonts w:asciiTheme="majorHAnsi" w:hAnsiTheme="majorHAnsi"/>
        </w:rPr>
      </w:pPr>
      <w:r w:rsidRPr="00D04686">
        <w:rPr>
          <w:rFonts w:asciiTheme="majorHAnsi" w:hAnsiTheme="majorHAnsi"/>
        </w:rPr>
        <w:t>Classification table 5 shows practical results of using logistic regression model. For each respondent (case) the predicted response is positive if the predicted value is more than the cut-off point, which is 0.5. Cells on the diagonal are correct predictions. Cells off the diagonal are incorrect predictions. Thus,  of number of 201 cases used to create the model 26 of 32 who had cognitive failure are classified correctly; 164 of 169 of cases with no cognitive failure are classified correctly; and generally, 94.5% of the cases have been classified correctly.</w:t>
      </w:r>
    </w:p>
    <w:p w:rsidR="00D04686" w:rsidRPr="00D04686" w:rsidRDefault="00D04686" w:rsidP="00D04686">
      <w:pPr>
        <w:spacing w:line="240" w:lineRule="auto"/>
        <w:jc w:val="both"/>
        <w:rPr>
          <w:rFonts w:asciiTheme="majorHAnsi" w:hAnsiTheme="majorHAnsi"/>
          <w:b/>
        </w:rPr>
      </w:pPr>
      <w:r w:rsidRPr="00D04686">
        <w:rPr>
          <w:rFonts w:asciiTheme="majorHAnsi" w:hAnsiTheme="majorHAnsi"/>
          <w:b/>
        </w:rPr>
        <w:t>Table 6: Classification of Unselected Cases of Respondents</w:t>
      </w:r>
    </w:p>
    <w:tbl>
      <w:tblPr>
        <w:tblW w:w="13260" w:type="dxa"/>
        <w:tblLayout w:type="fixed"/>
        <w:tblCellMar>
          <w:left w:w="10" w:type="dxa"/>
          <w:right w:w="10" w:type="dxa"/>
        </w:tblCellMar>
        <w:tblLook w:val="0000" w:firstRow="0" w:lastRow="0" w:firstColumn="0" w:lastColumn="0" w:noHBand="0" w:noVBand="0"/>
      </w:tblPr>
      <w:tblGrid>
        <w:gridCol w:w="869"/>
        <w:gridCol w:w="2629"/>
        <w:gridCol w:w="1146"/>
        <w:gridCol w:w="1318"/>
        <w:gridCol w:w="1380"/>
        <w:gridCol w:w="1577"/>
        <w:gridCol w:w="2760"/>
        <w:gridCol w:w="1581"/>
      </w:tblGrid>
      <w:tr w:rsidR="00D04686" w:rsidRPr="00D04686" w:rsidTr="006C50E4">
        <w:tc>
          <w:tcPr>
            <w:tcW w:w="86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p w:rsidR="00D04686" w:rsidRPr="00D04686" w:rsidRDefault="00D04686" w:rsidP="006C50E4">
            <w:pPr>
              <w:autoSpaceDE w:val="0"/>
              <w:spacing w:after="0" w:line="240" w:lineRule="auto"/>
              <w:rPr>
                <w:rFonts w:asciiTheme="majorHAnsi" w:hAnsiTheme="majorHAnsi"/>
                <w:color w:val="000000"/>
                <w:lang w:val="en-GB"/>
              </w:rPr>
            </w:pPr>
          </w:p>
          <w:p w:rsidR="00D04686" w:rsidRPr="00D04686" w:rsidRDefault="00D04686" w:rsidP="006C50E4">
            <w:pPr>
              <w:autoSpaceDE w:val="0"/>
              <w:spacing w:after="0" w:line="240" w:lineRule="auto"/>
              <w:rPr>
                <w:rFonts w:asciiTheme="majorHAnsi" w:hAnsiTheme="majorHAnsi"/>
                <w:color w:val="000000"/>
                <w:lang w:val="en-GB"/>
              </w:rPr>
            </w:pPr>
          </w:p>
          <w:p w:rsidR="00D04686" w:rsidRPr="00D04686" w:rsidRDefault="00D04686" w:rsidP="006C50E4">
            <w:pPr>
              <w:autoSpaceDE w:val="0"/>
              <w:spacing w:after="0" w:line="240" w:lineRule="auto"/>
              <w:rPr>
                <w:rFonts w:asciiTheme="majorHAnsi" w:hAnsiTheme="majorHAnsi"/>
                <w:color w:val="000000"/>
                <w:lang w:val="en-GB"/>
              </w:rPr>
            </w:pPr>
          </w:p>
          <w:p w:rsidR="00D04686" w:rsidRPr="00D04686" w:rsidRDefault="00D04686" w:rsidP="006C50E4">
            <w:pPr>
              <w:autoSpaceDE w:val="0"/>
              <w:spacing w:after="0" w:line="240" w:lineRule="auto"/>
              <w:rPr>
                <w:rFonts w:asciiTheme="majorHAnsi" w:hAnsiTheme="majorHAnsi"/>
                <w:color w:val="000000"/>
                <w:lang w:val="en-GB"/>
              </w:rPr>
            </w:pPr>
          </w:p>
          <w:p w:rsidR="00D04686" w:rsidRPr="00D04686" w:rsidRDefault="00D04686" w:rsidP="006C50E4">
            <w:pPr>
              <w:autoSpaceDE w:val="0"/>
              <w:spacing w:after="0" w:line="240" w:lineRule="auto"/>
              <w:rPr>
                <w:rFonts w:asciiTheme="majorHAnsi" w:hAnsiTheme="majorHAnsi"/>
                <w:color w:val="000000"/>
                <w:lang w:val="en-GB"/>
              </w:rPr>
            </w:pPr>
            <w:r w:rsidRPr="00D04686">
              <w:rPr>
                <w:rFonts w:asciiTheme="majorHAnsi" w:hAnsiTheme="majorHAnsi"/>
                <w:color w:val="000000"/>
                <w:lang w:val="en-GB"/>
              </w:rPr>
              <w:t>Step</w:t>
            </w:r>
          </w:p>
        </w:tc>
        <w:tc>
          <w:tcPr>
            <w:tcW w:w="37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p>
          <w:p w:rsidR="00D04686" w:rsidRPr="00D04686" w:rsidRDefault="00D04686" w:rsidP="006C50E4">
            <w:pPr>
              <w:autoSpaceDE w:val="0"/>
              <w:spacing w:after="0" w:line="240" w:lineRule="auto"/>
              <w:ind w:left="60" w:right="60"/>
              <w:rPr>
                <w:rFonts w:asciiTheme="majorHAnsi" w:hAnsiTheme="majorHAnsi"/>
                <w:color w:val="000000"/>
                <w:lang w:val="en-GB"/>
              </w:rPr>
            </w:pPr>
          </w:p>
          <w:p w:rsidR="00D04686" w:rsidRPr="00D04686" w:rsidRDefault="00D04686" w:rsidP="006C50E4">
            <w:pPr>
              <w:autoSpaceDE w:val="0"/>
              <w:spacing w:after="0" w:line="240" w:lineRule="auto"/>
              <w:ind w:left="60" w:right="60"/>
              <w:rPr>
                <w:rFonts w:asciiTheme="majorHAnsi" w:hAnsiTheme="majorHAnsi"/>
                <w:color w:val="000000"/>
                <w:lang w:val="en-GB"/>
              </w:rPr>
            </w:pPr>
          </w:p>
          <w:p w:rsidR="00D04686" w:rsidRPr="00D04686" w:rsidRDefault="00D04686" w:rsidP="006C50E4">
            <w:pPr>
              <w:autoSpaceDE w:val="0"/>
              <w:spacing w:after="0" w:line="240" w:lineRule="auto"/>
              <w:ind w:left="60" w:right="60"/>
              <w:rPr>
                <w:rFonts w:asciiTheme="majorHAnsi" w:hAnsiTheme="majorHAnsi"/>
                <w:color w:val="000000"/>
                <w:lang w:val="en-GB"/>
              </w:rPr>
            </w:pPr>
          </w:p>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Observed</w:t>
            </w:r>
          </w:p>
        </w:tc>
        <w:tc>
          <w:tcPr>
            <w:tcW w:w="42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Predicted</w:t>
            </w:r>
          </w:p>
        </w:tc>
        <w:tc>
          <w:tcPr>
            <w:tcW w:w="4341" w:type="dxa"/>
            <w:gridSpan w:val="2"/>
            <w:vMerge w:val="restart"/>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377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42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Unselected Cases</w:t>
            </w:r>
          </w:p>
        </w:tc>
        <w:tc>
          <w:tcPr>
            <w:tcW w:w="4341" w:type="dxa"/>
            <w:gridSpan w:val="2"/>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377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Category of cognitive failure</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b/>
                <w:color w:val="000000"/>
                <w:lang w:val="en-GB"/>
              </w:rPr>
            </w:pPr>
            <w:r w:rsidRPr="00D04686">
              <w:rPr>
                <w:rFonts w:asciiTheme="majorHAnsi" w:hAnsiTheme="majorHAnsi"/>
                <w:b/>
                <w:color w:val="000000"/>
                <w:lang w:val="en-GB"/>
              </w:rPr>
              <w:t>Percentage Correct</w:t>
            </w:r>
          </w:p>
          <w:p w:rsidR="00D04686" w:rsidRPr="00D04686" w:rsidRDefault="00D04686" w:rsidP="006C50E4">
            <w:pPr>
              <w:autoSpaceDE w:val="0"/>
              <w:spacing w:after="0" w:line="240" w:lineRule="auto"/>
              <w:ind w:left="60" w:right="60"/>
              <w:jc w:val="right"/>
              <w:rPr>
                <w:rFonts w:asciiTheme="majorHAnsi" w:hAnsiTheme="majorHAnsi"/>
                <w:b/>
                <w:color w:val="000000"/>
                <w:lang w:val="en-GB"/>
              </w:rPr>
            </w:pPr>
          </w:p>
        </w:tc>
        <w:tc>
          <w:tcPr>
            <w:tcW w:w="2760" w:type="dxa"/>
            <w:vMerge w:val="restart"/>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36</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0</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3</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2</w:t>
            </w:r>
          </w:p>
        </w:tc>
        <w:tc>
          <w:tcPr>
            <w:tcW w:w="158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r w:rsidRPr="00D04686">
              <w:rPr>
                <w:rFonts w:asciiTheme="majorHAnsi" w:hAnsiTheme="majorHAnsi"/>
                <w:color w:val="000000"/>
                <w:lang w:val="en-GB"/>
              </w:rPr>
              <w:t>Percentage Correct</w:t>
            </w: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377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center"/>
              <w:rPr>
                <w:rFonts w:asciiTheme="majorHAnsi" w:hAnsiTheme="majorHAnsi"/>
                <w:color w:val="000000"/>
                <w:lang w:val="en-GB"/>
              </w:rPr>
            </w:pPr>
            <w:r w:rsidRPr="00D04686">
              <w:rPr>
                <w:rFonts w:asciiTheme="majorHAnsi" w:hAnsiTheme="majorHAnsi"/>
                <w:color w:val="000000"/>
                <w:lang w:val="en-GB"/>
              </w:rPr>
              <w:t>No</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Yes</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2760"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158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r>
      <w:tr w:rsidR="00D04686" w:rsidRPr="00D04686" w:rsidTr="006C50E4">
        <w:tc>
          <w:tcPr>
            <w:tcW w:w="86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 xml:space="preserve"> 1</w:t>
            </w:r>
          </w:p>
        </w:tc>
        <w:tc>
          <w:tcPr>
            <w:tcW w:w="262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right="60"/>
              <w:rPr>
                <w:rFonts w:asciiTheme="majorHAnsi" w:hAnsiTheme="majorHAnsi"/>
                <w:color w:val="000000"/>
                <w:lang w:val="en-GB"/>
              </w:rPr>
            </w:pPr>
            <w:r w:rsidRPr="00D04686">
              <w:rPr>
                <w:rFonts w:asciiTheme="majorHAnsi" w:hAnsiTheme="majorHAnsi"/>
                <w:color w:val="000000"/>
                <w:lang w:val="en-GB"/>
              </w:rPr>
              <w:t>Cognitive failure</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No</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36</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97.3</w:t>
            </w:r>
          </w:p>
        </w:tc>
        <w:tc>
          <w:tcPr>
            <w:tcW w:w="2760"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94.4</w:t>
            </w: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62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Yes</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75.0</w:t>
            </w:r>
          </w:p>
        </w:tc>
        <w:tc>
          <w:tcPr>
            <w:tcW w:w="2760"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c>
          <w:tcPr>
            <w:tcW w:w="158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80.0</w:t>
            </w:r>
          </w:p>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92.7</w:t>
            </w:r>
          </w:p>
        </w:tc>
      </w:tr>
      <w:tr w:rsidR="00D04686" w:rsidRPr="00D04686" w:rsidTr="006C50E4">
        <w:tc>
          <w:tcPr>
            <w:tcW w:w="86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olor w:val="000000"/>
                <w:lang w:val="en-GB"/>
              </w:rPr>
            </w:pPr>
          </w:p>
        </w:tc>
        <w:tc>
          <w:tcPr>
            <w:tcW w:w="262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rPr>
                <w:rFonts w:asciiTheme="majorHAnsi" w:hAnsiTheme="majorHAnsi"/>
                <w:color w:val="000000"/>
                <w:lang w:val="en-GB"/>
              </w:rPr>
            </w:pPr>
            <w:r w:rsidRPr="00D04686">
              <w:rPr>
                <w:rFonts w:asciiTheme="majorHAnsi" w:hAnsiTheme="majorHAnsi"/>
                <w:color w:val="000000"/>
                <w:lang w:val="en-GB"/>
              </w:rPr>
              <w:t>Overall Percentage</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right="60"/>
              <w:rPr>
                <w:rFonts w:asciiTheme="majorHAnsi" w:hAnsiTheme="majorHAnsi"/>
                <w:color w:val="000000"/>
                <w:lang w:val="en-GB"/>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s="Times New Roman"/>
                <w:lang w:val="en-GB"/>
              </w:rPr>
            </w:pPr>
          </w:p>
        </w:tc>
        <w:tc>
          <w:tcPr>
            <w:tcW w:w="138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rPr>
                <w:rFonts w:asciiTheme="majorHAnsi" w:hAnsiTheme="majorHAnsi" w:cs="Times New Roman"/>
                <w:lang w:val="en-GB"/>
              </w:rPr>
            </w:pPr>
          </w:p>
        </w:tc>
        <w:tc>
          <w:tcPr>
            <w:tcW w:w="157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r w:rsidRPr="00D04686">
              <w:rPr>
                <w:rFonts w:asciiTheme="majorHAnsi" w:hAnsiTheme="majorHAnsi"/>
                <w:color w:val="000000"/>
                <w:lang w:val="en-GB"/>
              </w:rPr>
              <w:t>95.1</w:t>
            </w:r>
          </w:p>
        </w:tc>
        <w:tc>
          <w:tcPr>
            <w:tcW w:w="2760" w:type="dxa"/>
            <w:vMerge/>
            <w:tcBorders>
              <w:left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s="Times New Roman"/>
                <w:lang w:val="en-GB"/>
              </w:rPr>
            </w:pPr>
          </w:p>
        </w:tc>
        <w:tc>
          <w:tcPr>
            <w:tcW w:w="158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4686" w:rsidRPr="00D04686" w:rsidRDefault="00D04686" w:rsidP="006C50E4">
            <w:pPr>
              <w:autoSpaceDE w:val="0"/>
              <w:spacing w:after="0" w:line="240" w:lineRule="auto"/>
              <w:ind w:left="60" w:right="60"/>
              <w:jc w:val="right"/>
              <w:rPr>
                <w:rFonts w:asciiTheme="majorHAnsi" w:hAnsiTheme="majorHAnsi"/>
                <w:color w:val="000000"/>
                <w:lang w:val="en-GB"/>
              </w:rPr>
            </w:pPr>
          </w:p>
        </w:tc>
      </w:tr>
    </w:tbl>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r w:rsidRPr="00D04686">
        <w:rPr>
          <w:rFonts w:asciiTheme="majorHAnsi" w:hAnsiTheme="majorHAnsi"/>
        </w:rPr>
        <w:t xml:space="preserve">Table 6 above shows the results of the classification of cases that were used to validate the model. These cases were not subjected to the noise level in the environment of the machine operation workers. Out of the 44 cases only 39 of them were selected by the software procedure due to missing values. Based on the model 36 out of 37 who had no cognitive failure are correctly classified as having </w:t>
      </w:r>
      <w:r w:rsidRPr="00D04686">
        <w:rPr>
          <w:rFonts w:asciiTheme="majorHAnsi" w:hAnsiTheme="majorHAnsi"/>
        </w:rPr>
        <w:lastRenderedPageBreak/>
        <w:t xml:space="preserve">none and 3 out of 4 with cognitive failure are correctly classified. On the whole, 95.1% of the cases have been classified correctly. </w:t>
      </w: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p w:rsidR="00D04686" w:rsidRPr="00D04686" w:rsidRDefault="00D04686" w:rsidP="00D04686">
      <w:pPr>
        <w:spacing w:line="240" w:lineRule="auto"/>
        <w:jc w:val="both"/>
        <w:rPr>
          <w:rFonts w:asciiTheme="majorHAnsi" w:hAnsiTheme="majorHAnsi"/>
        </w:rPr>
      </w:pPr>
    </w:p>
    <w:sectPr w:rsidR="00D04686" w:rsidRPr="00D0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86"/>
    <w:rsid w:val="001F1DBE"/>
    <w:rsid w:val="002830EB"/>
    <w:rsid w:val="00D046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58BCB-1675-4360-A93C-CFC0CDEF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4686"/>
    <w:pPr>
      <w:suppressAutoHyphens/>
      <w:autoSpaceDN w:val="0"/>
      <w:spacing w:after="200" w:line="276" w:lineRule="auto"/>
      <w:textAlignment w:val="baseline"/>
    </w:pPr>
    <w:rPr>
      <w:rFonts w:ascii="Calibri" w:eastAsia="Calibri" w:hAnsi="Calibri"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c:creator>
  <cp:keywords/>
  <dc:description/>
  <cp:lastModifiedBy>abu</cp:lastModifiedBy>
  <cp:revision>1</cp:revision>
  <dcterms:created xsi:type="dcterms:W3CDTF">2021-04-18T20:40:00Z</dcterms:created>
  <dcterms:modified xsi:type="dcterms:W3CDTF">2021-04-18T20:46:00Z</dcterms:modified>
</cp:coreProperties>
</file>