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Calibri" w:cs="Calibri" w:eastAsia="Calibri" w:hAnsi="Calibri"/>
          <w:b/>
          <w:bCs/>
          <w:color w:val="1F3A5F"/>
          <w:sz w:val="32"/>
          <w:szCs w:val="32"/>
        </w:rPr>
        <w:t xml:space="preserve">ROFTCORE TEKNOLOJİ A.Ş.</w:t>
      </w:r>
    </w:p>
    <w:p>
      <w:pPr>
        <w:spacing w:after="40" w:before="60"/>
        <w:jc w:val="center"/>
      </w:pPr>
      <w:r>
        <w:rPr>
          <w:rFonts w:ascii="Calibri" w:cs="Calibri" w:eastAsia="Calibri" w:hAnsi="Calibri"/>
          <w:color w:val="555555"/>
          <w:sz w:val="24"/>
          <w:szCs w:val="24"/>
        </w:rPr>
        <w:t xml:space="preserve">Ar-Ge Ara Çıktı Teknik Raporu</w:t>
      </w:r>
    </w:p>
    <w:p>
      <w:pPr>
        <w:pBdr>
          <w:bottom w:val="single" w:color="1F3A5F" w:sz="6"/>
        </w:pBdr>
        <w:spacing w:after="160" w:before="60"/>
      </w:pPr>
      <w:r>
        <w:t xml:space="preserve"/>
      </w:r>
    </w:p>
    <w:p>
      <w:pPr>
        <w:spacing w:after="200" w:before="420"/>
        <w:jc w:val="center"/>
      </w:pPr>
      <w:r>
        <w:rPr>
          <w:rFonts w:ascii="Calibri" w:cs="Calibri" w:eastAsia="Calibri" w:hAnsi="Calibri"/>
          <w:b/>
          <w:bCs/>
          <w:color w:val="111111"/>
          <w:sz w:val="44"/>
          <w:szCs w:val="44"/>
        </w:rPr>
        <w:t xml:space="preserve">NATGhost Algoritma Raporu</w:t>
      </w:r>
    </w:p>
    <w:p>
      <w:pPr>
        <w:spacing w:after="40"/>
        <w:jc w:val="center"/>
      </w:pPr>
      <w:r>
        <w:rPr>
          <w:rFonts w:ascii="Calibri" w:cs="Calibri" w:eastAsia="Calibri" w:hAnsi="Calibri"/>
          <w:i/>
          <w:iCs/>
          <w:color w:val="333333"/>
          <w:sz w:val="24"/>
          <w:szCs w:val="24"/>
        </w:rPr>
        <w:t xml:space="preserve">Simetrik NAT Ardındaki Uçlar İçin Aktarım Sunucusuz, NAT-Farkında</w:t>
      </w:r>
    </w:p>
    <w:p>
      <w:pPr>
        <w:spacing w:after="40"/>
        <w:jc w:val="center"/>
      </w:pPr>
      <w:r>
        <w:rPr>
          <w:rFonts w:ascii="Calibri" w:cs="Calibri" w:eastAsia="Calibri" w:hAnsi="Calibri"/>
          <w:i/>
          <w:iCs/>
          <w:color w:val="333333"/>
          <w:sz w:val="24"/>
          <w:szCs w:val="24"/>
        </w:rPr>
        <w:t xml:space="preserve">Uçtan Uca Bağlantı Kurma Algoritması:</w:t>
      </w:r>
    </w:p>
    <w:p>
      <w:pPr>
        <w:spacing w:after="700"/>
        <w:jc w:val="center"/>
      </w:pPr>
      <w:r>
        <w:rPr>
          <w:rFonts w:ascii="Calibri" w:cs="Calibri" w:eastAsia="Calibri" w:hAnsi="Calibri"/>
          <w:i/>
          <w:iCs/>
          <w:color w:val="333333"/>
          <w:sz w:val="24"/>
          <w:szCs w:val="24"/>
        </w:rPr>
        <w:t xml:space="preserve">Tasarım, Analitik Model, Simülasyon ve Mimari Sadeleştirme Kararı</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3200"/>
        <w:gridCol w:w="6438"/>
      </w:tblGrid>
      <w:tr>
        <w:trPr>
          <w:tblHeader/>
        </w:trPr>
        <w:tc>
          <w:tcPr>
            <w:tcW w:type="dxa" w:w="3200"/>
            <w:shd w:fill="DCE3EC" w:val="clear"/>
            <w:tcMar>
              <w:top w:type="dxa" w:w="70"/>
              <w:left w:type="dxa" w:w="100"/>
              <w:bottom w:type="dxa" w:w="70"/>
              <w:right w:type="dxa" w:w="100"/>
            </w:tcMar>
          </w:tcPr>
          <w:p>
            <w:pPr>
              <w:spacing w:after="0" w:line="240"/>
              <w:jc w:val="center"/>
            </w:pPr>
            <w:r>
              <w:rPr>
                <w:b/>
                <w:bCs/>
                <w:sz w:val="19"/>
                <w:szCs w:val="19"/>
              </w:rPr>
              <w:t xml:space="preserve">Künye</w:t>
            </w:r>
          </w:p>
        </w:tc>
        <w:tc>
          <w:tcPr>
            <w:tcW w:type="dxa" w:w="6438"/>
            <w:shd w:fill="DCE3EC" w:val="clear"/>
            <w:tcMar>
              <w:top w:type="dxa" w:w="70"/>
              <w:left w:type="dxa" w:w="100"/>
              <w:bottom w:type="dxa" w:w="70"/>
              <w:right w:type="dxa" w:w="100"/>
            </w:tcMar>
          </w:tcPr>
          <w:p>
            <w:pPr>
              <w:spacing w:after="0" w:line="240"/>
              <w:jc w:val="center"/>
            </w:pPr>
            <w:r>
              <w:rPr>
                <w:b/>
                <w:bCs/>
                <w:sz w:val="19"/>
                <w:szCs w:val="19"/>
              </w:rPr>
              <w:t xml:space="preserve">Değer</w:t>
            </w:r>
          </w:p>
        </w:tc>
      </w:tr>
      <w:tr>
        <w:tc>
          <w:tcPr>
            <w:tcW w:type="dxa" w:w="3200"/>
            <w:tcMar>
              <w:top w:type="dxa" w:w="70"/>
              <w:left w:type="dxa" w:w="100"/>
              <w:bottom w:type="dxa" w:w="70"/>
              <w:right w:type="dxa" w:w="100"/>
            </w:tcMar>
          </w:tcPr>
          <w:p>
            <w:pPr>
              <w:spacing w:after="0" w:line="240"/>
              <w:jc w:val="left"/>
            </w:pPr>
            <w:r>
              <w:rPr>
                <w:b/>
                <w:bCs/>
                <w:sz w:val="19"/>
                <w:szCs w:val="19"/>
              </w:rPr>
              <w:t xml:space="preserve">Belge no / sürüm</w:t>
            </w:r>
          </w:p>
        </w:tc>
        <w:tc>
          <w:tcPr>
            <w:tcW w:type="dxa" w:w="6438"/>
            <w:tcMar>
              <w:top w:type="dxa" w:w="70"/>
              <w:left w:type="dxa" w:w="100"/>
              <w:bottom w:type="dxa" w:w="70"/>
              <w:right w:type="dxa" w:w="100"/>
            </w:tcMar>
          </w:tcPr>
          <w:p>
            <w:pPr>
              <w:spacing w:after="0" w:line="240"/>
              <w:jc w:val="left"/>
            </w:pPr>
            <w:r>
              <w:rPr>
                <w:b w:val="false"/>
                <w:bCs w:val="false"/>
                <w:sz w:val="19"/>
                <w:szCs w:val="19"/>
              </w:rPr>
              <w:t xml:space="preserve">RC-TR-NATGHOST-001 / v1.0</w:t>
            </w:r>
          </w:p>
        </w:tc>
      </w:tr>
      <w:tr>
        <w:tc>
          <w:tcPr>
            <w:tcW w:type="dxa" w:w="3200"/>
            <w:tcMar>
              <w:top w:type="dxa" w:w="70"/>
              <w:left w:type="dxa" w:w="100"/>
              <w:bottom w:type="dxa" w:w="70"/>
              <w:right w:type="dxa" w:w="100"/>
            </w:tcMar>
          </w:tcPr>
          <w:p>
            <w:pPr>
              <w:spacing w:after="0" w:line="240"/>
              <w:jc w:val="left"/>
            </w:pPr>
            <w:r>
              <w:rPr>
                <w:b/>
                <w:bCs/>
                <w:sz w:val="19"/>
                <w:szCs w:val="19"/>
              </w:rPr>
              <w:t xml:space="preserve">Destek programı</w:t>
            </w:r>
          </w:p>
        </w:tc>
        <w:tc>
          <w:tcPr>
            <w:tcW w:type="dxa" w:w="6438"/>
            <w:tcMar>
              <w:top w:type="dxa" w:w="70"/>
              <w:left w:type="dxa" w:w="100"/>
              <w:bottom w:type="dxa" w:w="70"/>
              <w:right w:type="dxa" w:w="100"/>
            </w:tcMar>
          </w:tcPr>
          <w:p>
            <w:pPr>
              <w:spacing w:after="0" w:line="240"/>
              <w:jc w:val="left"/>
            </w:pPr>
            <w:r>
              <w:rPr>
                <w:b w:val="false"/>
                <w:bCs w:val="false"/>
                <w:sz w:val="19"/>
                <w:szCs w:val="19"/>
              </w:rPr>
              <w:t xml:space="preserve">TÜBİTAK 1812 – Yatırım Tabanlı Girişimcilik Destek Programı (BiGG Yatırım)</w:t>
            </w:r>
          </w:p>
        </w:tc>
      </w:tr>
      <w:tr>
        <w:tc>
          <w:tcPr>
            <w:tcW w:type="dxa" w:w="3200"/>
            <w:tcMar>
              <w:top w:type="dxa" w:w="70"/>
              <w:left w:type="dxa" w:w="100"/>
              <w:bottom w:type="dxa" w:w="70"/>
              <w:right w:type="dxa" w:w="100"/>
            </w:tcMar>
          </w:tcPr>
          <w:p>
            <w:pPr>
              <w:spacing w:after="0" w:line="240"/>
              <w:jc w:val="left"/>
            </w:pPr>
            <w:r>
              <w:rPr>
                <w:b/>
                <w:bCs/>
                <w:sz w:val="19"/>
                <w:szCs w:val="19"/>
              </w:rPr>
              <w:t xml:space="preserve">İş planı adı / no</w:t>
            </w:r>
          </w:p>
        </w:tc>
        <w:tc>
          <w:tcPr>
            <w:tcW w:type="dxa" w:w="6438"/>
            <w:tcMar>
              <w:top w:type="dxa" w:w="70"/>
              <w:left w:type="dxa" w:w="100"/>
              <w:bottom w:type="dxa" w:w="70"/>
              <w:right w:type="dxa" w:w="100"/>
            </w:tcMar>
          </w:tcPr>
          <w:p>
            <w:pPr>
              <w:spacing w:after="0" w:line="240"/>
              <w:jc w:val="left"/>
            </w:pPr>
            <w:r>
              <w:rPr>
                <w:b w:val="false"/>
                <w:bCs w:val="false"/>
                <w:sz w:val="19"/>
                <w:szCs w:val="19"/>
              </w:rPr>
              <w:t xml:space="preserve">SafeRoom: Merkeziyetsiz Güvenli İletişim / 2250792</w:t>
            </w:r>
          </w:p>
        </w:tc>
      </w:tr>
      <w:tr>
        <w:tc>
          <w:tcPr>
            <w:tcW w:type="dxa" w:w="3200"/>
            <w:tcMar>
              <w:top w:type="dxa" w:w="70"/>
              <w:left w:type="dxa" w:w="100"/>
              <w:bottom w:type="dxa" w:w="70"/>
              <w:right w:type="dxa" w:w="100"/>
            </w:tcMar>
          </w:tcPr>
          <w:p>
            <w:pPr>
              <w:spacing w:after="0" w:line="240"/>
              <w:jc w:val="left"/>
            </w:pPr>
            <w:r>
              <w:rPr>
                <w:b/>
                <w:bCs/>
                <w:sz w:val="19"/>
                <w:szCs w:val="19"/>
              </w:rPr>
              <w:t xml:space="preserve">İlgili iş paketi</w:t>
            </w:r>
          </w:p>
        </w:tc>
        <w:tc>
          <w:tcPr>
            <w:tcW w:type="dxa" w:w="6438"/>
            <w:tcMar>
              <w:top w:type="dxa" w:w="70"/>
              <w:left w:type="dxa" w:w="100"/>
              <w:bottom w:type="dxa" w:w="70"/>
              <w:right w:type="dxa" w:w="100"/>
            </w:tcMar>
          </w:tcPr>
          <w:p>
            <w:pPr>
              <w:spacing w:after="0" w:line="240"/>
              <w:jc w:val="left"/>
            </w:pPr>
            <w:r>
              <w:rPr>
                <w:b w:val="false"/>
                <w:bCs w:val="false"/>
                <w:sz w:val="19"/>
                <w:szCs w:val="19"/>
              </w:rPr>
              <w:t xml:space="preserve">608061 – Ar-Ge Modülleri (destekleyici: 608066 – Test ve Simülasyon)</w:t>
            </w:r>
          </w:p>
        </w:tc>
      </w:tr>
      <w:tr>
        <w:tc>
          <w:tcPr>
            <w:tcW w:type="dxa" w:w="3200"/>
            <w:tcMar>
              <w:top w:type="dxa" w:w="70"/>
              <w:left w:type="dxa" w:w="100"/>
              <w:bottom w:type="dxa" w:w="70"/>
              <w:right w:type="dxa" w:w="100"/>
            </w:tcMar>
          </w:tcPr>
          <w:p>
            <w:pPr>
              <w:spacing w:after="0" w:line="240"/>
              <w:jc w:val="left"/>
            </w:pPr>
            <w:r>
              <w:rPr>
                <w:b/>
                <w:bCs/>
                <w:sz w:val="19"/>
                <w:szCs w:val="19"/>
              </w:rPr>
              <w:t xml:space="preserve">Planlanan zaman aralığı</w:t>
            </w:r>
          </w:p>
        </w:tc>
        <w:tc>
          <w:tcPr>
            <w:tcW w:type="dxa" w:w="6438"/>
            <w:tcMar>
              <w:top w:type="dxa" w:w="70"/>
              <w:left w:type="dxa" w:w="100"/>
              <w:bottom w:type="dxa" w:w="70"/>
              <w:right w:type="dxa" w:w="100"/>
            </w:tcMar>
          </w:tcPr>
          <w:p>
            <w:pPr>
              <w:spacing w:after="0" w:line="240"/>
              <w:jc w:val="left"/>
            </w:pPr>
            <w:r>
              <w:rPr>
                <w:b w:val="false"/>
                <w:bCs w:val="false"/>
                <w:sz w:val="19"/>
                <w:szCs w:val="19"/>
              </w:rPr>
              <w:t xml:space="preserve">01.12.2025 – 30.04.2026</w:t>
            </w:r>
          </w:p>
        </w:tc>
      </w:tr>
      <w:tr>
        <w:tc>
          <w:tcPr>
            <w:tcW w:type="dxa" w:w="3200"/>
            <w:tcMar>
              <w:top w:type="dxa" w:w="70"/>
              <w:left w:type="dxa" w:w="100"/>
              <w:bottom w:type="dxa" w:w="70"/>
              <w:right w:type="dxa" w:w="100"/>
            </w:tcMar>
          </w:tcPr>
          <w:p>
            <w:pPr>
              <w:spacing w:after="0" w:line="240"/>
              <w:jc w:val="left"/>
            </w:pPr>
            <w:r>
              <w:rPr>
                <w:b/>
                <w:bCs/>
                <w:sz w:val="19"/>
                <w:szCs w:val="19"/>
              </w:rPr>
              <w:t xml:space="preserve">Gerçekleşen tarih</w:t>
            </w:r>
          </w:p>
        </w:tc>
        <w:tc>
          <w:tcPr>
            <w:tcW w:type="dxa" w:w="6438"/>
            <w:tcMar>
              <w:top w:type="dxa" w:w="70"/>
              <w:left w:type="dxa" w:w="100"/>
              <w:bottom w:type="dxa" w:w="70"/>
              <w:right w:type="dxa" w:w="100"/>
            </w:tcMar>
          </w:tcPr>
          <w:p>
            <w:pPr>
              <w:spacing w:after="0" w:line="240"/>
              <w:jc w:val="left"/>
            </w:pPr>
            <w:r>
              <w:rPr>
                <w:b w:val="false"/>
                <w:bCs w:val="false"/>
                <w:sz w:val="19"/>
                <w:szCs w:val="19"/>
              </w:rPr>
              <w:t xml:space="preserve">12.02.2026</w:t>
            </w:r>
          </w:p>
        </w:tc>
      </w:tr>
      <w:tr>
        <w:tc>
          <w:tcPr>
            <w:tcW w:type="dxa" w:w="3200"/>
            <w:tcMar>
              <w:top w:type="dxa" w:w="70"/>
              <w:left w:type="dxa" w:w="100"/>
              <w:bottom w:type="dxa" w:w="70"/>
              <w:right w:type="dxa" w:w="100"/>
            </w:tcMar>
          </w:tcPr>
          <w:p>
            <w:pPr>
              <w:spacing w:after="0" w:line="240"/>
              <w:jc w:val="left"/>
            </w:pPr>
            <w:r>
              <w:rPr>
                <w:b/>
                <w:bCs/>
                <w:sz w:val="19"/>
                <w:szCs w:val="19"/>
              </w:rPr>
              <w:t xml:space="preserve">Çıktı durumu</w:t>
            </w:r>
          </w:p>
        </w:tc>
        <w:tc>
          <w:tcPr>
            <w:tcW w:type="dxa" w:w="6438"/>
            <w:tcMar>
              <w:top w:type="dxa" w:w="70"/>
              <w:left w:type="dxa" w:w="100"/>
              <w:bottom w:type="dxa" w:w="70"/>
              <w:right w:type="dxa" w:w="100"/>
            </w:tcMar>
          </w:tcPr>
          <w:p>
            <w:pPr>
              <w:spacing w:after="0" w:line="240"/>
              <w:jc w:val="left"/>
            </w:pPr>
            <w:r>
              <w:rPr>
                <w:b w:val="false"/>
                <w:bCs w:val="false"/>
                <w:sz w:val="19"/>
                <w:szCs w:val="19"/>
              </w:rPr>
              <w:t xml:space="preserve">Tamamlandı (öngörülen tarihten önce)</w:t>
            </w:r>
          </w:p>
        </w:tc>
      </w:tr>
      <w:tr>
        <w:tc>
          <w:tcPr>
            <w:tcW w:type="dxa" w:w="3200"/>
            <w:tcMar>
              <w:top w:type="dxa" w:w="70"/>
              <w:left w:type="dxa" w:w="100"/>
              <w:bottom w:type="dxa" w:w="70"/>
              <w:right w:type="dxa" w:w="100"/>
            </w:tcMar>
          </w:tcPr>
          <w:p>
            <w:pPr>
              <w:spacing w:after="0" w:line="240"/>
              <w:jc w:val="left"/>
            </w:pPr>
            <w:r>
              <w:rPr>
                <w:b/>
                <w:bCs/>
                <w:sz w:val="19"/>
                <w:szCs w:val="19"/>
              </w:rPr>
              <w:t xml:space="preserve">Hazırlayan</w:t>
            </w:r>
          </w:p>
        </w:tc>
        <w:tc>
          <w:tcPr>
            <w:tcW w:type="dxa" w:w="6438"/>
            <w:tcMar>
              <w:top w:type="dxa" w:w="70"/>
              <w:left w:type="dxa" w:w="100"/>
              <w:bottom w:type="dxa" w:w="70"/>
              <w:right w:type="dxa" w:w="100"/>
            </w:tcMar>
          </w:tcPr>
          <w:p>
            <w:pPr>
              <w:spacing w:after="0" w:line="240"/>
              <w:jc w:val="left"/>
            </w:pPr>
            <w:r>
              <w:rPr>
                <w:b w:val="false"/>
                <w:bCs w:val="false"/>
                <w:sz w:val="19"/>
                <w:szCs w:val="19"/>
              </w:rPr>
              <w:t xml:space="preserve">Abdurrahman Karadağ – Kurucu, Sistem Mimarı ve Proje Yürütücüsü</w:t>
            </w:r>
          </w:p>
        </w:tc>
      </w:tr>
      <w:tr>
        <w:tc>
          <w:tcPr>
            <w:tcW w:type="dxa" w:w="3200"/>
            <w:tcMar>
              <w:top w:type="dxa" w:w="70"/>
              <w:left w:type="dxa" w:w="100"/>
              <w:bottom w:type="dxa" w:w="70"/>
              <w:right w:type="dxa" w:w="100"/>
            </w:tcMar>
          </w:tcPr>
          <w:p>
            <w:pPr>
              <w:spacing w:after="0" w:line="240"/>
              <w:jc w:val="left"/>
            </w:pPr>
            <w:r>
              <w:rPr>
                <w:b/>
                <w:bCs/>
                <w:sz w:val="19"/>
                <w:szCs w:val="19"/>
              </w:rPr>
              <w:t xml:space="preserve">Rapor kapsamı</w:t>
            </w:r>
          </w:p>
        </w:tc>
        <w:tc>
          <w:tcPr>
            <w:tcW w:type="dxa" w:w="6438"/>
            <w:tcMar>
              <w:top w:type="dxa" w:w="70"/>
              <w:left w:type="dxa" w:w="100"/>
              <w:bottom w:type="dxa" w:w="70"/>
              <w:right w:type="dxa" w:w="100"/>
            </w:tcMar>
          </w:tcPr>
          <w:p>
            <w:pPr>
              <w:spacing w:after="0" w:line="240"/>
              <w:jc w:val="left"/>
            </w:pPr>
            <w:r>
              <w:rPr>
                <w:b w:val="false"/>
                <w:bCs w:val="false"/>
                <w:sz w:val="19"/>
                <w:szCs w:val="19"/>
              </w:rPr>
              <w:t xml:space="preserve">Ara çıktı teknik raporu ve mimari karar kaydı (DR-NATGHOST-1)</w:t>
            </w:r>
          </w:p>
        </w:tc>
      </w:tr>
    </w:tbl>
    <w:p>
      <w:r>
        <w:br w:type="page"/>
      </w:r>
    </w:p>
    <w:p>
      <w:pPr>
        <w:sectPr>
          <w:pgSz w:w="11906" w:h="16838" w:orient="portrait"/>
          <w:pgMar w:top="1134" w:right="1134" w:bottom="1134" w:left="1134" w:header="708" w:footer="708" w:gutter="0"/>
          <w:pgNumType/>
          <w:docGrid w:linePitch="360"/>
        </w:sectPr>
      </w:pPr>
    </w:p>
    <w:p>
      <w:pPr>
        <w:spacing w:after="160"/>
      </w:pPr>
      <w:r>
        <w:rPr>
          <w:rFonts w:ascii="Calibri" w:cs="Calibri" w:eastAsia="Calibri" w:hAnsi="Calibri"/>
          <w:b/>
          <w:bCs/>
          <w:color w:val="1F3A5F"/>
          <w:sz w:val="28"/>
          <w:szCs w:val="28"/>
        </w:rPr>
        <w:t xml:space="preserve">İçindekiler</w:t>
      </w:r>
    </w:p>
    <w:p>
      <w:pPr>
        <w:tabs>
          <w:tab w:val="right" w:pos="9638" w:leader="dot"/>
        </w:tabs>
        <w:spacing w:after="40" w:line="240"/>
        <w:ind w:left="0"/>
      </w:pPr>
      <w:r>
        <w:rPr>
          <w:rFonts w:ascii="Calibri" w:cs="Calibri" w:eastAsia="Calibri" w:hAnsi="Calibri"/>
          <w:b/>
          <w:bCs/>
          <w:color w:val="1F3A5F"/>
          <w:sz w:val="21"/>
          <w:szCs w:val="21"/>
        </w:rPr>
        <w:t xml:space="preserve">1. Yönetici Özeti</w:t>
      </w:r>
      <w:r>
        <w:rPr>
          <w:rFonts w:ascii="Calibri" w:cs="Calibri" w:eastAsia="Calibri" w:hAnsi="Calibri"/>
          <w:color w:val="222222"/>
          <w:sz w:val="20"/>
          <w:szCs w:val="20"/>
        </w:rPr>
        <w:t xml:space="preserve">	3</w:t>
      </w:r>
    </w:p>
    <w:p>
      <w:pPr>
        <w:tabs>
          <w:tab w:val="right" w:pos="9638" w:leader="dot"/>
        </w:tabs>
        <w:spacing w:after="40" w:line="240"/>
        <w:ind w:left="0"/>
      </w:pPr>
      <w:r>
        <w:rPr>
          <w:rFonts w:ascii="Calibri" w:cs="Calibri" w:eastAsia="Calibri" w:hAnsi="Calibri"/>
          <w:b/>
          <w:bCs/>
          <w:color w:val="1F3A5F"/>
          <w:sz w:val="21"/>
          <w:szCs w:val="21"/>
        </w:rPr>
        <w:t xml:space="preserve">2. Amaç, Kapsam ve İş Planı ile İlişki</w:t>
      </w:r>
      <w:r>
        <w:rPr>
          <w:rFonts w:ascii="Calibri" w:cs="Calibri" w:eastAsia="Calibri" w:hAnsi="Calibri"/>
          <w:color w:val="222222"/>
          <w:sz w:val="20"/>
          <w:szCs w:val="20"/>
        </w:rPr>
        <w:t xml:space="preserve">	3</w:t>
      </w:r>
    </w:p>
    <w:p>
      <w:pPr>
        <w:tabs>
          <w:tab w:val="right" w:pos="9638" w:leader="dot"/>
        </w:tabs>
        <w:spacing w:after="40" w:line="240"/>
        <w:ind w:left="340"/>
      </w:pPr>
      <w:r>
        <w:rPr>
          <w:rFonts w:ascii="Calibri" w:cs="Calibri" w:eastAsia="Calibri" w:hAnsi="Calibri"/>
          <w:b w:val="false"/>
          <w:bCs w:val="false"/>
          <w:color w:val="222222"/>
          <w:sz w:val="20"/>
          <w:szCs w:val="20"/>
        </w:rPr>
        <w:t xml:space="preserve">2.1. Çıktının iş planındaki yeri</w:t>
      </w:r>
      <w:r>
        <w:rPr>
          <w:rFonts w:ascii="Calibri" w:cs="Calibri" w:eastAsia="Calibri" w:hAnsi="Calibri"/>
          <w:color w:val="222222"/>
          <w:sz w:val="20"/>
          <w:szCs w:val="20"/>
        </w:rPr>
        <w:t xml:space="preserve">	3</w:t>
      </w:r>
    </w:p>
    <w:p>
      <w:pPr>
        <w:tabs>
          <w:tab w:val="right" w:pos="9638" w:leader="dot"/>
        </w:tabs>
        <w:spacing w:after="40" w:line="240"/>
        <w:ind w:left="340"/>
      </w:pPr>
      <w:r>
        <w:rPr>
          <w:rFonts w:ascii="Calibri" w:cs="Calibri" w:eastAsia="Calibri" w:hAnsi="Calibri"/>
          <w:b w:val="false"/>
          <w:bCs w:val="false"/>
          <w:color w:val="222222"/>
          <w:sz w:val="20"/>
          <w:szCs w:val="20"/>
        </w:rPr>
        <w:t xml:space="preserve">2.2. Raporun yöntemi ve kanıt düzeyleri</w:t>
      </w:r>
      <w:r>
        <w:rPr>
          <w:rFonts w:ascii="Calibri" w:cs="Calibri" w:eastAsia="Calibri" w:hAnsi="Calibri"/>
          <w:color w:val="222222"/>
          <w:sz w:val="20"/>
          <w:szCs w:val="20"/>
        </w:rPr>
        <w:t xml:space="preserve">	4</w:t>
      </w:r>
    </w:p>
    <w:p>
      <w:pPr>
        <w:tabs>
          <w:tab w:val="right" w:pos="9638" w:leader="dot"/>
        </w:tabs>
        <w:spacing w:after="40" w:line="240"/>
        <w:ind w:left="0"/>
      </w:pPr>
      <w:r>
        <w:rPr>
          <w:rFonts w:ascii="Calibri" w:cs="Calibri" w:eastAsia="Calibri" w:hAnsi="Calibri"/>
          <w:b/>
          <w:bCs/>
          <w:color w:val="1F3A5F"/>
          <w:sz w:val="21"/>
          <w:szCs w:val="21"/>
        </w:rPr>
        <w:t xml:space="preserve">3. Problem Tanımı ve Teknik Gerekçe</w:t>
      </w:r>
      <w:r>
        <w:rPr>
          <w:rFonts w:ascii="Calibri" w:cs="Calibri" w:eastAsia="Calibri" w:hAnsi="Calibri"/>
          <w:color w:val="222222"/>
          <w:sz w:val="20"/>
          <w:szCs w:val="20"/>
        </w:rPr>
        <w:t xml:space="preserve">	4</w:t>
      </w:r>
    </w:p>
    <w:p>
      <w:pPr>
        <w:tabs>
          <w:tab w:val="right" w:pos="9638" w:leader="dot"/>
        </w:tabs>
        <w:spacing w:after="40" w:line="240"/>
        <w:ind w:left="340"/>
      </w:pPr>
      <w:r>
        <w:rPr>
          <w:rFonts w:ascii="Calibri" w:cs="Calibri" w:eastAsia="Calibri" w:hAnsi="Calibri"/>
          <w:b w:val="false"/>
          <w:bCs w:val="false"/>
          <w:color w:val="222222"/>
          <w:sz w:val="20"/>
          <w:szCs w:val="20"/>
        </w:rPr>
        <w:t xml:space="preserve">3.1. NAT eşleme davranışı</w:t>
      </w:r>
      <w:r>
        <w:rPr>
          <w:rFonts w:ascii="Calibri" w:cs="Calibri" w:eastAsia="Calibri" w:hAnsi="Calibri"/>
          <w:color w:val="222222"/>
          <w:sz w:val="20"/>
          <w:szCs w:val="20"/>
        </w:rPr>
        <w:t xml:space="preserve">	4</w:t>
      </w:r>
    </w:p>
    <w:p>
      <w:pPr>
        <w:tabs>
          <w:tab w:val="right" w:pos="9638" w:leader="dot"/>
        </w:tabs>
        <w:spacing w:after="40" w:line="240"/>
        <w:ind w:left="340"/>
      </w:pPr>
      <w:r>
        <w:rPr>
          <w:rFonts w:ascii="Calibri" w:cs="Calibri" w:eastAsia="Calibri" w:hAnsi="Calibri"/>
          <w:b w:val="false"/>
          <w:bCs w:val="false"/>
          <w:color w:val="222222"/>
          <w:sz w:val="20"/>
          <w:szCs w:val="20"/>
        </w:rPr>
        <w:t xml:space="preserve">3.2. Süzme davranışı ve delme için gereken koşul</w:t>
      </w:r>
      <w:r>
        <w:rPr>
          <w:rFonts w:ascii="Calibri" w:cs="Calibri" w:eastAsia="Calibri" w:hAnsi="Calibri"/>
          <w:color w:val="222222"/>
          <w:sz w:val="20"/>
          <w:szCs w:val="20"/>
        </w:rPr>
        <w:t xml:space="preserve">	4</w:t>
      </w:r>
    </w:p>
    <w:p>
      <w:pPr>
        <w:tabs>
          <w:tab w:val="right" w:pos="9638" w:leader="dot"/>
        </w:tabs>
        <w:spacing w:after="40" w:line="240"/>
        <w:ind w:left="340"/>
      </w:pPr>
      <w:r>
        <w:rPr>
          <w:rFonts w:ascii="Calibri" w:cs="Calibri" w:eastAsia="Calibri" w:hAnsi="Calibri"/>
          <w:b w:val="false"/>
          <w:bCs w:val="false"/>
          <w:color w:val="222222"/>
          <w:sz w:val="20"/>
          <w:szCs w:val="20"/>
        </w:rPr>
        <w:t xml:space="preserve">3.3. ICE’ın simetrik NAT sınırı</w:t>
      </w:r>
      <w:r>
        <w:rPr>
          <w:rFonts w:ascii="Calibri" w:cs="Calibri" w:eastAsia="Calibri" w:hAnsi="Calibri"/>
          <w:color w:val="222222"/>
          <w:sz w:val="20"/>
          <w:szCs w:val="20"/>
        </w:rPr>
        <w:t xml:space="preserve">	5</w:t>
      </w:r>
    </w:p>
    <w:p>
      <w:pPr>
        <w:tabs>
          <w:tab w:val="right" w:pos="9638" w:leader="dot"/>
        </w:tabs>
        <w:spacing w:after="40" w:line="240"/>
        <w:ind w:left="340"/>
      </w:pPr>
      <w:r>
        <w:rPr>
          <w:rFonts w:ascii="Calibri" w:cs="Calibri" w:eastAsia="Calibri" w:hAnsi="Calibri"/>
          <w:b w:val="false"/>
          <w:bCs w:val="false"/>
          <w:color w:val="222222"/>
          <w:sz w:val="20"/>
          <w:szCs w:val="20"/>
        </w:rPr>
        <w:t xml:space="preserve">3.4. Tasarım hedefi</w:t>
      </w:r>
      <w:r>
        <w:rPr>
          <w:rFonts w:ascii="Calibri" w:cs="Calibri" w:eastAsia="Calibri" w:hAnsi="Calibri"/>
          <w:color w:val="222222"/>
          <w:sz w:val="20"/>
          <w:szCs w:val="20"/>
        </w:rPr>
        <w:t xml:space="preserve">	5</w:t>
      </w:r>
    </w:p>
    <w:p>
      <w:pPr>
        <w:tabs>
          <w:tab w:val="right" w:pos="9638" w:leader="dot"/>
        </w:tabs>
        <w:spacing w:after="40" w:line="240"/>
        <w:ind w:left="0"/>
      </w:pPr>
      <w:r>
        <w:rPr>
          <w:rFonts w:ascii="Calibri" w:cs="Calibri" w:eastAsia="Calibri" w:hAnsi="Calibri"/>
          <w:b/>
          <w:bCs/>
          <w:color w:val="1F3A5F"/>
          <w:sz w:val="21"/>
          <w:szCs w:val="21"/>
        </w:rPr>
        <w:t xml:space="preserve">4. NATGhost Algoritmasının Tasarımı</w:t>
      </w:r>
      <w:r>
        <w:rPr>
          <w:rFonts w:ascii="Calibri" w:cs="Calibri" w:eastAsia="Calibri" w:hAnsi="Calibri"/>
          <w:color w:val="222222"/>
          <w:sz w:val="20"/>
          <w:szCs w:val="20"/>
        </w:rPr>
        <w:t xml:space="preserve">	5</w:t>
      </w:r>
    </w:p>
    <w:p>
      <w:pPr>
        <w:tabs>
          <w:tab w:val="right" w:pos="9638" w:leader="dot"/>
        </w:tabs>
        <w:spacing w:after="40" w:line="240"/>
        <w:ind w:left="340"/>
      </w:pPr>
      <w:r>
        <w:rPr>
          <w:rFonts w:ascii="Calibri" w:cs="Calibri" w:eastAsia="Calibri" w:hAnsi="Calibri"/>
          <w:b w:val="false"/>
          <w:bCs w:val="false"/>
          <w:color w:val="222222"/>
          <w:sz w:val="20"/>
          <w:szCs w:val="20"/>
        </w:rPr>
        <w:t xml:space="preserve">4.1. Genel akış</w:t>
      </w:r>
      <w:r>
        <w:rPr>
          <w:rFonts w:ascii="Calibri" w:cs="Calibri" w:eastAsia="Calibri" w:hAnsi="Calibri"/>
          <w:color w:val="222222"/>
          <w:sz w:val="20"/>
          <w:szCs w:val="20"/>
        </w:rPr>
        <w:t xml:space="preserve">	5</w:t>
      </w:r>
    </w:p>
    <w:p>
      <w:pPr>
        <w:tabs>
          <w:tab w:val="right" w:pos="9638" w:leader="dot"/>
        </w:tabs>
        <w:spacing w:after="40" w:line="240"/>
        <w:ind w:left="340"/>
      </w:pPr>
      <w:r>
        <w:rPr>
          <w:rFonts w:ascii="Calibri" w:cs="Calibri" w:eastAsia="Calibri" w:hAnsi="Calibri"/>
          <w:b w:val="false"/>
          <w:bCs w:val="false"/>
          <w:color w:val="222222"/>
          <w:sz w:val="20"/>
          <w:szCs w:val="20"/>
        </w:rPr>
        <w:t xml:space="preserve">4.2. Faz 1 — Paralel STUN prob ile NAT farkındalığı</w:t>
      </w:r>
      <w:r>
        <w:rPr>
          <w:rFonts w:ascii="Calibri" w:cs="Calibri" w:eastAsia="Calibri" w:hAnsi="Calibri"/>
          <w:color w:val="222222"/>
          <w:sz w:val="20"/>
          <w:szCs w:val="20"/>
        </w:rPr>
        <w:t xml:space="preserve">	5</w:t>
      </w:r>
    </w:p>
    <w:p>
      <w:pPr>
        <w:tabs>
          <w:tab w:val="right" w:pos="9638" w:leader="dot"/>
        </w:tabs>
        <w:spacing w:after="40" w:line="240"/>
        <w:ind w:left="340"/>
      </w:pPr>
      <w:r>
        <w:rPr>
          <w:rFonts w:ascii="Calibri" w:cs="Calibri" w:eastAsia="Calibri" w:hAnsi="Calibri"/>
          <w:b w:val="false"/>
          <w:bCs w:val="false"/>
          <w:color w:val="222222"/>
          <w:sz w:val="20"/>
          <w:szCs w:val="20"/>
        </w:rPr>
        <w:t xml:space="preserve">4.3. Faz 2 — Simetrik NAT’ta dış port dağılımının profillenmesi</w:t>
      </w:r>
      <w:r>
        <w:rPr>
          <w:rFonts w:ascii="Calibri" w:cs="Calibri" w:eastAsia="Calibri" w:hAnsi="Calibri"/>
          <w:color w:val="222222"/>
          <w:sz w:val="20"/>
          <w:szCs w:val="20"/>
        </w:rPr>
        <w:t xml:space="preserve">	6</w:t>
      </w:r>
    </w:p>
    <w:p>
      <w:pPr>
        <w:tabs>
          <w:tab w:val="right" w:pos="9638" w:leader="dot"/>
        </w:tabs>
        <w:spacing w:after="40" w:line="240"/>
        <w:ind w:left="340"/>
      </w:pPr>
      <w:r>
        <w:rPr>
          <w:rFonts w:ascii="Calibri" w:cs="Calibri" w:eastAsia="Calibri" w:hAnsi="Calibri"/>
          <w:b w:val="false"/>
          <w:bCs w:val="false"/>
          <w:color w:val="222222"/>
          <w:sz w:val="20"/>
          <w:szCs w:val="20"/>
        </w:rPr>
        <w:t xml:space="preserve">4.4. Faz 3 — Profilin sinyalleşme üzerinden değişimi</w:t>
      </w:r>
      <w:r>
        <w:rPr>
          <w:rFonts w:ascii="Calibri" w:cs="Calibri" w:eastAsia="Calibri" w:hAnsi="Calibri"/>
          <w:color w:val="222222"/>
          <w:sz w:val="20"/>
          <w:szCs w:val="20"/>
        </w:rPr>
        <w:t xml:space="preserve">	6</w:t>
      </w:r>
    </w:p>
    <w:p>
      <w:pPr>
        <w:tabs>
          <w:tab w:val="right" w:pos="9638" w:leader="dot"/>
        </w:tabs>
        <w:spacing w:after="40" w:line="240"/>
        <w:ind w:left="340"/>
      </w:pPr>
      <w:r>
        <w:rPr>
          <w:rFonts w:ascii="Calibri" w:cs="Calibri" w:eastAsia="Calibri" w:hAnsi="Calibri"/>
          <w:b w:val="false"/>
          <w:bCs w:val="false"/>
          <w:color w:val="222222"/>
          <w:sz w:val="20"/>
          <w:szCs w:val="20"/>
        </w:rPr>
        <w:t xml:space="preserve">4.5. Faz 4 — Strateji seçim matrisi</w:t>
      </w:r>
      <w:r>
        <w:rPr>
          <w:rFonts w:ascii="Calibri" w:cs="Calibri" w:eastAsia="Calibri" w:hAnsi="Calibri"/>
          <w:color w:val="222222"/>
          <w:sz w:val="20"/>
          <w:szCs w:val="20"/>
        </w:rPr>
        <w:t xml:space="preserve">	6</w:t>
      </w:r>
    </w:p>
    <w:p>
      <w:pPr>
        <w:tabs>
          <w:tab w:val="right" w:pos="9638" w:leader="dot"/>
        </w:tabs>
        <w:spacing w:after="40" w:line="240"/>
        <w:ind w:left="340"/>
      </w:pPr>
      <w:r>
        <w:rPr>
          <w:rFonts w:ascii="Calibri" w:cs="Calibri" w:eastAsia="Calibri" w:hAnsi="Calibri"/>
          <w:b w:val="false"/>
          <w:bCs w:val="false"/>
          <w:color w:val="222222"/>
          <w:sz w:val="20"/>
          <w:szCs w:val="20"/>
        </w:rPr>
        <w:t xml:space="preserve">4.6. Faz 5a — Tek yönlü port spraying (Senaryo B)</w:t>
      </w:r>
      <w:r>
        <w:rPr>
          <w:rFonts w:ascii="Calibri" w:cs="Calibri" w:eastAsia="Calibri" w:hAnsi="Calibri"/>
          <w:color w:val="222222"/>
          <w:sz w:val="20"/>
          <w:szCs w:val="20"/>
        </w:rPr>
        <w:t xml:space="preserve">	6</w:t>
      </w:r>
    </w:p>
    <w:p>
      <w:pPr>
        <w:tabs>
          <w:tab w:val="right" w:pos="9638" w:leader="dot"/>
        </w:tabs>
        <w:spacing w:after="40" w:line="240"/>
        <w:ind w:left="340"/>
      </w:pPr>
      <w:r>
        <w:rPr>
          <w:rFonts w:ascii="Calibri" w:cs="Calibri" w:eastAsia="Calibri" w:hAnsi="Calibri"/>
          <w:b w:val="false"/>
          <w:bCs w:val="false"/>
          <w:color w:val="222222"/>
          <w:sz w:val="20"/>
          <w:szCs w:val="20"/>
        </w:rPr>
        <w:t xml:space="preserve">4.7. Faz 5b — Karşılıklı port spraying (Senaryo C)</w:t>
      </w:r>
      <w:r>
        <w:rPr>
          <w:rFonts w:ascii="Calibri" w:cs="Calibri" w:eastAsia="Calibri" w:hAnsi="Calibri"/>
          <w:color w:val="222222"/>
          <w:sz w:val="20"/>
          <w:szCs w:val="20"/>
        </w:rPr>
        <w:t xml:space="preserve">	7</w:t>
      </w:r>
    </w:p>
    <w:p>
      <w:pPr>
        <w:tabs>
          <w:tab w:val="right" w:pos="9638" w:leader="dot"/>
        </w:tabs>
        <w:spacing w:after="40" w:line="240"/>
        <w:ind w:left="0"/>
      </w:pPr>
      <w:r>
        <w:rPr>
          <w:rFonts w:ascii="Calibri" w:cs="Calibri" w:eastAsia="Calibri" w:hAnsi="Calibri"/>
          <w:b/>
          <w:bCs/>
          <w:color w:val="1F3A5F"/>
          <w:sz w:val="21"/>
          <w:szCs w:val="21"/>
        </w:rPr>
        <w:t xml:space="preserve">5. Delme Olasılığının Analitik Modeli</w:t>
      </w:r>
      <w:r>
        <w:rPr>
          <w:rFonts w:ascii="Calibri" w:cs="Calibri" w:eastAsia="Calibri" w:hAnsi="Calibri"/>
          <w:color w:val="222222"/>
          <w:sz w:val="20"/>
          <w:szCs w:val="20"/>
        </w:rPr>
        <w:t xml:space="preserve">	8</w:t>
      </w:r>
    </w:p>
    <w:p>
      <w:pPr>
        <w:tabs>
          <w:tab w:val="right" w:pos="9638" w:leader="dot"/>
        </w:tabs>
        <w:spacing w:after="40" w:line="240"/>
        <w:ind w:left="340"/>
      </w:pPr>
      <w:r>
        <w:rPr>
          <w:rFonts w:ascii="Calibri" w:cs="Calibri" w:eastAsia="Calibri" w:hAnsi="Calibri"/>
          <w:b w:val="false"/>
          <w:bCs w:val="false"/>
          <w:color w:val="222222"/>
          <w:sz w:val="20"/>
          <w:szCs w:val="20"/>
        </w:rPr>
        <w:t xml:space="preserve">5.1. Tek tesadüf durumu (Senaryo B)</w:t>
      </w:r>
      <w:r>
        <w:rPr>
          <w:rFonts w:ascii="Calibri" w:cs="Calibri" w:eastAsia="Calibri" w:hAnsi="Calibri"/>
          <w:color w:val="222222"/>
          <w:sz w:val="20"/>
          <w:szCs w:val="20"/>
        </w:rPr>
        <w:t xml:space="preserve">	8</w:t>
      </w:r>
    </w:p>
    <w:p>
      <w:pPr>
        <w:tabs>
          <w:tab w:val="right" w:pos="9638" w:leader="dot"/>
        </w:tabs>
        <w:spacing w:after="40" w:line="240"/>
        <w:ind w:left="340"/>
      </w:pPr>
      <w:r>
        <w:rPr>
          <w:rFonts w:ascii="Calibri" w:cs="Calibri" w:eastAsia="Calibri" w:hAnsi="Calibri"/>
          <w:b w:val="false"/>
          <w:bCs w:val="false"/>
          <w:color w:val="222222"/>
          <w:sz w:val="20"/>
          <w:szCs w:val="20"/>
        </w:rPr>
        <w:t xml:space="preserve">5.2. Çift tesadüf durumu (Senaryo C)</w:t>
      </w:r>
      <w:r>
        <w:rPr>
          <w:rFonts w:ascii="Calibri" w:cs="Calibri" w:eastAsia="Calibri" w:hAnsi="Calibri"/>
          <w:color w:val="222222"/>
          <w:sz w:val="20"/>
          <w:szCs w:val="20"/>
        </w:rPr>
        <w:t xml:space="preserve">	8</w:t>
      </w:r>
    </w:p>
    <w:p>
      <w:pPr>
        <w:tabs>
          <w:tab w:val="right" w:pos="9638" w:leader="dot"/>
        </w:tabs>
        <w:spacing w:after="40" w:line="240"/>
        <w:ind w:left="340"/>
      </w:pPr>
      <w:r>
        <w:rPr>
          <w:rFonts w:ascii="Calibri" w:cs="Calibri" w:eastAsia="Calibri" w:hAnsi="Calibri"/>
          <w:b w:val="false"/>
          <w:bCs w:val="false"/>
          <w:color w:val="222222"/>
          <w:sz w:val="20"/>
          <w:szCs w:val="20"/>
        </w:rPr>
        <w:t xml:space="preserve">5.3. Profil isabet oranı</w:t>
      </w:r>
      <w:r>
        <w:rPr>
          <w:rFonts w:ascii="Calibri" w:cs="Calibri" w:eastAsia="Calibri" w:hAnsi="Calibri"/>
          <w:color w:val="222222"/>
          <w:sz w:val="20"/>
          <w:szCs w:val="20"/>
        </w:rPr>
        <w:t xml:space="preserve">	8</w:t>
      </w:r>
    </w:p>
    <w:p>
      <w:pPr>
        <w:tabs>
          <w:tab w:val="right" w:pos="9638" w:leader="dot"/>
        </w:tabs>
        <w:spacing w:after="40" w:line="240"/>
        <w:ind w:left="340"/>
      </w:pPr>
      <w:r>
        <w:rPr>
          <w:rFonts w:ascii="Calibri" w:cs="Calibri" w:eastAsia="Calibri" w:hAnsi="Calibri"/>
          <w:b w:val="false"/>
          <w:bCs w:val="false"/>
          <w:color w:val="222222"/>
          <w:sz w:val="20"/>
          <w:szCs w:val="20"/>
        </w:rPr>
        <w:t xml:space="preserve">5.4. Zaman ve oran kısıtı</w:t>
      </w:r>
      <w:r>
        <w:rPr>
          <w:rFonts w:ascii="Calibri" w:cs="Calibri" w:eastAsia="Calibri" w:hAnsi="Calibri"/>
          <w:color w:val="222222"/>
          <w:sz w:val="20"/>
          <w:szCs w:val="20"/>
        </w:rPr>
        <w:t xml:space="preserve">	8</w:t>
      </w:r>
    </w:p>
    <w:p>
      <w:pPr>
        <w:tabs>
          <w:tab w:val="right" w:pos="9638" w:leader="dot"/>
        </w:tabs>
        <w:spacing w:after="40" w:line="240"/>
        <w:ind w:left="0"/>
      </w:pPr>
      <w:r>
        <w:rPr>
          <w:rFonts w:ascii="Calibri" w:cs="Calibri" w:eastAsia="Calibri" w:hAnsi="Calibri"/>
          <w:b/>
          <w:bCs/>
          <w:color w:val="1F3A5F"/>
          <w:sz w:val="21"/>
          <w:szCs w:val="21"/>
        </w:rPr>
        <w:t xml:space="preserve">6. Simülasyon Çalışması ve Bulguları</w:t>
      </w:r>
      <w:r>
        <w:rPr>
          <w:rFonts w:ascii="Calibri" w:cs="Calibri" w:eastAsia="Calibri" w:hAnsi="Calibri"/>
          <w:color w:val="222222"/>
          <w:sz w:val="20"/>
          <w:szCs w:val="20"/>
        </w:rPr>
        <w:t xml:space="preserve">	9</w:t>
      </w:r>
    </w:p>
    <w:p>
      <w:pPr>
        <w:tabs>
          <w:tab w:val="right" w:pos="9638" w:leader="dot"/>
        </w:tabs>
        <w:spacing w:after="40" w:line="240"/>
        <w:ind w:left="340"/>
      </w:pPr>
      <w:r>
        <w:rPr>
          <w:rFonts w:ascii="Calibri" w:cs="Calibri" w:eastAsia="Calibri" w:hAnsi="Calibri"/>
          <w:b w:val="false"/>
          <w:bCs w:val="false"/>
          <w:color w:val="222222"/>
          <w:sz w:val="20"/>
          <w:szCs w:val="20"/>
        </w:rPr>
        <w:t xml:space="preserve">6.1. Yöntem</w:t>
      </w:r>
      <w:r>
        <w:rPr>
          <w:rFonts w:ascii="Calibri" w:cs="Calibri" w:eastAsia="Calibri" w:hAnsi="Calibri"/>
          <w:color w:val="222222"/>
          <w:sz w:val="20"/>
          <w:szCs w:val="20"/>
        </w:rPr>
        <w:t xml:space="preserve">	9</w:t>
      </w:r>
    </w:p>
    <w:p>
      <w:pPr>
        <w:tabs>
          <w:tab w:val="right" w:pos="9638" w:leader="dot"/>
        </w:tabs>
        <w:spacing w:after="40" w:line="240"/>
        <w:ind w:left="340"/>
      </w:pPr>
      <w:r>
        <w:rPr>
          <w:rFonts w:ascii="Calibri" w:cs="Calibri" w:eastAsia="Calibri" w:hAnsi="Calibri"/>
          <w:b w:val="false"/>
          <w:bCs w:val="false"/>
          <w:color w:val="222222"/>
          <w:sz w:val="20"/>
          <w:szCs w:val="20"/>
        </w:rPr>
        <w:t xml:space="preserve">6.2. Tek tesadüf: profillemenin kazancı</w:t>
      </w:r>
      <w:r>
        <w:rPr>
          <w:rFonts w:ascii="Calibri" w:cs="Calibri" w:eastAsia="Calibri" w:hAnsi="Calibri"/>
          <w:color w:val="222222"/>
          <w:sz w:val="20"/>
          <w:szCs w:val="20"/>
        </w:rPr>
        <w:t xml:space="preserve">	9</w:t>
      </w:r>
    </w:p>
    <w:p>
      <w:pPr>
        <w:tabs>
          <w:tab w:val="right" w:pos="9638" w:leader="dot"/>
        </w:tabs>
        <w:spacing w:after="40" w:line="240"/>
        <w:ind w:left="340"/>
      </w:pPr>
      <w:r>
        <w:rPr>
          <w:rFonts w:ascii="Calibri" w:cs="Calibri" w:eastAsia="Calibri" w:hAnsi="Calibri"/>
          <w:b w:val="false"/>
          <w:bCs w:val="false"/>
          <w:color w:val="222222"/>
          <w:sz w:val="20"/>
          <w:szCs w:val="20"/>
        </w:rPr>
        <w:t xml:space="preserve">6.3. Gereken bütçenin pencere genişliğine bağımlılığı</w:t>
      </w:r>
      <w:r>
        <w:rPr>
          <w:rFonts w:ascii="Calibri" w:cs="Calibri" w:eastAsia="Calibri" w:hAnsi="Calibri"/>
          <w:color w:val="222222"/>
          <w:sz w:val="20"/>
          <w:szCs w:val="20"/>
        </w:rPr>
        <w:t xml:space="preserve">	9</w:t>
      </w:r>
    </w:p>
    <w:p>
      <w:pPr>
        <w:tabs>
          <w:tab w:val="right" w:pos="9638" w:leader="dot"/>
        </w:tabs>
        <w:spacing w:after="40" w:line="240"/>
        <w:ind w:left="340"/>
      </w:pPr>
      <w:r>
        <w:rPr>
          <w:rFonts w:ascii="Calibri" w:cs="Calibri" w:eastAsia="Calibri" w:hAnsi="Calibri"/>
          <w:b w:val="false"/>
          <w:bCs w:val="false"/>
          <w:color w:val="222222"/>
          <w:sz w:val="20"/>
          <w:szCs w:val="20"/>
        </w:rPr>
        <w:t xml:space="preserve">6.4. Senaryo C: bütçe değil, süzme davranışı belirleyicidir</w:t>
      </w:r>
      <w:r>
        <w:rPr>
          <w:rFonts w:ascii="Calibri" w:cs="Calibri" w:eastAsia="Calibri" w:hAnsi="Calibri"/>
          <w:color w:val="222222"/>
          <w:sz w:val="20"/>
          <w:szCs w:val="20"/>
        </w:rPr>
        <w:t xml:space="preserve">	10</w:t>
      </w:r>
    </w:p>
    <w:p>
      <w:pPr>
        <w:tabs>
          <w:tab w:val="right" w:pos="9638" w:leader="dot"/>
        </w:tabs>
        <w:spacing w:after="40" w:line="240"/>
        <w:ind w:left="340"/>
      </w:pPr>
      <w:r>
        <w:rPr>
          <w:rFonts w:ascii="Calibri" w:cs="Calibri" w:eastAsia="Calibri" w:hAnsi="Calibri"/>
          <w:b w:val="false"/>
          <w:bCs w:val="false"/>
          <w:color w:val="222222"/>
          <w:sz w:val="20"/>
          <w:szCs w:val="20"/>
        </w:rPr>
        <w:t xml:space="preserve">6.5. Öngörülebilir atama yapan cihazlar</w:t>
      </w:r>
      <w:r>
        <w:rPr>
          <w:rFonts w:ascii="Calibri" w:cs="Calibri" w:eastAsia="Calibri" w:hAnsi="Calibri"/>
          <w:color w:val="222222"/>
          <w:sz w:val="20"/>
          <w:szCs w:val="20"/>
        </w:rPr>
        <w:t xml:space="preserve">	10</w:t>
      </w:r>
    </w:p>
    <w:p>
      <w:pPr>
        <w:tabs>
          <w:tab w:val="right" w:pos="9638" w:leader="dot"/>
        </w:tabs>
        <w:spacing w:after="40" w:line="240"/>
        <w:ind w:left="340"/>
      </w:pPr>
      <w:r>
        <w:rPr>
          <w:rFonts w:ascii="Calibri" w:cs="Calibri" w:eastAsia="Calibri" w:hAnsi="Calibri"/>
          <w:b w:val="false"/>
          <w:bCs w:val="false"/>
          <w:color w:val="222222"/>
          <w:sz w:val="20"/>
          <w:szCs w:val="20"/>
        </w:rPr>
        <w:t xml:space="preserve">6.6. Profil isabet oranının etkisi</w:t>
      </w:r>
      <w:r>
        <w:rPr>
          <w:rFonts w:ascii="Calibri" w:cs="Calibri" w:eastAsia="Calibri" w:hAnsi="Calibri"/>
          <w:color w:val="222222"/>
          <w:sz w:val="20"/>
          <w:szCs w:val="20"/>
        </w:rPr>
        <w:t xml:space="preserve">	11</w:t>
      </w:r>
    </w:p>
    <w:p>
      <w:pPr>
        <w:tabs>
          <w:tab w:val="right" w:pos="9638" w:leader="dot"/>
        </w:tabs>
        <w:spacing w:after="40" w:line="240"/>
        <w:ind w:left="340"/>
      </w:pPr>
      <w:r>
        <w:rPr>
          <w:rFonts w:ascii="Calibri" w:cs="Calibri" w:eastAsia="Calibri" w:hAnsi="Calibri"/>
          <w:b w:val="false"/>
          <w:bCs w:val="false"/>
          <w:color w:val="222222"/>
          <w:sz w:val="20"/>
          <w:szCs w:val="20"/>
        </w:rPr>
        <w:t xml:space="preserve">6.7. Simülasyon bulgularının özeti</w:t>
      </w:r>
      <w:r>
        <w:rPr>
          <w:rFonts w:ascii="Calibri" w:cs="Calibri" w:eastAsia="Calibri" w:hAnsi="Calibri"/>
          <w:color w:val="222222"/>
          <w:sz w:val="20"/>
          <w:szCs w:val="20"/>
        </w:rPr>
        <w:t xml:space="preserve">	11</w:t>
      </w:r>
    </w:p>
    <w:p>
      <w:pPr>
        <w:tabs>
          <w:tab w:val="right" w:pos="9638" w:leader="dot"/>
        </w:tabs>
        <w:spacing w:after="40" w:line="240"/>
        <w:ind w:left="0"/>
      </w:pPr>
      <w:r>
        <w:rPr>
          <w:rFonts w:ascii="Calibri" w:cs="Calibri" w:eastAsia="Calibri" w:hAnsi="Calibri"/>
          <w:b/>
          <w:bCs/>
          <w:color w:val="1F3A5F"/>
          <w:sz w:val="21"/>
          <w:szCs w:val="21"/>
        </w:rPr>
        <w:t xml:space="preserve">7. Prototip Test Çalışmasının Niteliksel Bulguları</w:t>
      </w:r>
      <w:r>
        <w:rPr>
          <w:rFonts w:ascii="Calibri" w:cs="Calibri" w:eastAsia="Calibri" w:hAnsi="Calibri"/>
          <w:color w:val="222222"/>
          <w:sz w:val="20"/>
          <w:szCs w:val="20"/>
        </w:rPr>
        <w:t xml:space="preserve">	11</w:t>
      </w:r>
    </w:p>
    <w:p>
      <w:pPr>
        <w:tabs>
          <w:tab w:val="right" w:pos="9638" w:leader="dot"/>
        </w:tabs>
        <w:spacing w:after="40" w:line="240"/>
        <w:ind w:left="0"/>
      </w:pPr>
      <w:r>
        <w:rPr>
          <w:rFonts w:ascii="Calibri" w:cs="Calibri" w:eastAsia="Calibri" w:hAnsi="Calibri"/>
          <w:b/>
          <w:bCs/>
          <w:color w:val="1F3A5F"/>
          <w:sz w:val="21"/>
          <w:szCs w:val="21"/>
        </w:rPr>
        <w:t xml:space="preserve">8. Değerlendirme: Bağımsız Modül Olarak Sürdürülmeme Gerekçesi</w:t>
      </w:r>
      <w:r>
        <w:rPr>
          <w:rFonts w:ascii="Calibri" w:cs="Calibri" w:eastAsia="Calibri" w:hAnsi="Calibri"/>
          <w:color w:val="222222"/>
          <w:sz w:val="20"/>
          <w:szCs w:val="20"/>
        </w:rPr>
        <w:t xml:space="preserve">	13</w:t>
      </w:r>
    </w:p>
    <w:p>
      <w:pPr>
        <w:tabs>
          <w:tab w:val="right" w:pos="9638" w:leader="dot"/>
        </w:tabs>
        <w:spacing w:after="40" w:line="240"/>
        <w:ind w:left="340"/>
      </w:pPr>
      <w:r>
        <w:rPr>
          <w:rFonts w:ascii="Calibri" w:cs="Calibri" w:eastAsia="Calibri" w:hAnsi="Calibri"/>
          <w:b w:val="false"/>
          <w:bCs w:val="false"/>
          <w:color w:val="222222"/>
          <w:sz w:val="20"/>
          <w:szCs w:val="20"/>
        </w:rPr>
        <w:t xml:space="preserve">8.1. Bağlantı ve oturum durumunun birden fazla bileşende tekrar yönetilmesi</w:t>
      </w:r>
      <w:r>
        <w:rPr>
          <w:rFonts w:ascii="Calibri" w:cs="Calibri" w:eastAsia="Calibri" w:hAnsi="Calibri"/>
          <w:color w:val="222222"/>
          <w:sz w:val="20"/>
          <w:szCs w:val="20"/>
        </w:rPr>
        <w:t xml:space="preserve">	13</w:t>
      </w:r>
    </w:p>
    <w:p>
      <w:pPr>
        <w:tabs>
          <w:tab w:val="right" w:pos="9638" w:leader="dot"/>
        </w:tabs>
        <w:spacing w:after="40" w:line="240"/>
        <w:ind w:left="340"/>
      </w:pPr>
      <w:r>
        <w:rPr>
          <w:rFonts w:ascii="Calibri" w:cs="Calibri" w:eastAsia="Calibri" w:hAnsi="Calibri"/>
          <w:b w:val="false"/>
          <w:bCs w:val="false"/>
          <w:color w:val="222222"/>
          <w:sz w:val="20"/>
          <w:szCs w:val="20"/>
        </w:rPr>
        <w:t xml:space="preserve">8.2. Entegrasyon karmaşıklığı</w:t>
      </w:r>
      <w:r>
        <w:rPr>
          <w:rFonts w:ascii="Calibri" w:cs="Calibri" w:eastAsia="Calibri" w:hAnsi="Calibri"/>
          <w:color w:val="222222"/>
          <w:sz w:val="20"/>
          <w:szCs w:val="20"/>
        </w:rPr>
        <w:t xml:space="preserve">	13</w:t>
      </w:r>
    </w:p>
    <w:p>
      <w:pPr>
        <w:tabs>
          <w:tab w:val="right" w:pos="9638" w:leader="dot"/>
        </w:tabs>
        <w:spacing w:after="40" w:line="240"/>
        <w:ind w:left="340"/>
      </w:pPr>
      <w:r>
        <w:rPr>
          <w:rFonts w:ascii="Calibri" w:cs="Calibri" w:eastAsia="Calibri" w:hAnsi="Calibri"/>
          <w:b w:val="false"/>
          <w:bCs w:val="false"/>
          <w:color w:val="222222"/>
          <w:sz w:val="20"/>
          <w:szCs w:val="20"/>
        </w:rPr>
        <w:t xml:space="preserve">8.3. Ek bağlantının bant genişliği maliyeti</w:t>
      </w:r>
      <w:r>
        <w:rPr>
          <w:rFonts w:ascii="Calibri" w:cs="Calibri" w:eastAsia="Calibri" w:hAnsi="Calibri"/>
          <w:color w:val="222222"/>
          <w:sz w:val="20"/>
          <w:szCs w:val="20"/>
        </w:rPr>
        <w:t xml:space="preserve">	13</w:t>
      </w:r>
    </w:p>
    <w:p>
      <w:pPr>
        <w:tabs>
          <w:tab w:val="right" w:pos="9638" w:leader="dot"/>
        </w:tabs>
        <w:spacing w:after="40" w:line="240"/>
        <w:ind w:left="340"/>
      </w:pPr>
      <w:r>
        <w:rPr>
          <w:rFonts w:ascii="Calibri" w:cs="Calibri" w:eastAsia="Calibri" w:hAnsi="Calibri"/>
          <w:b w:val="false"/>
          <w:bCs w:val="false"/>
          <w:color w:val="222222"/>
          <w:sz w:val="20"/>
          <w:szCs w:val="20"/>
        </w:rPr>
        <w:t xml:space="preserve">8.4. Kurulum gecikmesi</w:t>
      </w:r>
      <w:r>
        <w:rPr>
          <w:rFonts w:ascii="Calibri" w:cs="Calibri" w:eastAsia="Calibri" w:hAnsi="Calibri"/>
          <w:color w:val="222222"/>
          <w:sz w:val="20"/>
          <w:szCs w:val="20"/>
        </w:rPr>
        <w:t xml:space="preserve">	13</w:t>
      </w:r>
    </w:p>
    <w:p>
      <w:pPr>
        <w:tabs>
          <w:tab w:val="right" w:pos="9638" w:leader="dot"/>
        </w:tabs>
        <w:spacing w:after="40" w:line="240"/>
        <w:ind w:left="340"/>
      </w:pPr>
      <w:r>
        <w:rPr>
          <w:rFonts w:ascii="Calibri" w:cs="Calibri" w:eastAsia="Calibri" w:hAnsi="Calibri"/>
          <w:b w:val="false"/>
          <w:bCs w:val="false"/>
          <w:color w:val="222222"/>
          <w:sz w:val="20"/>
          <w:szCs w:val="20"/>
        </w:rPr>
        <w:t xml:space="preserve">8.5. Ürün stratejisiyle uyum</w:t>
      </w:r>
      <w:r>
        <w:rPr>
          <w:rFonts w:ascii="Calibri" w:cs="Calibri" w:eastAsia="Calibri" w:hAnsi="Calibri"/>
          <w:color w:val="222222"/>
          <w:sz w:val="20"/>
          <w:szCs w:val="20"/>
        </w:rPr>
        <w:t xml:space="preserve">	13</w:t>
      </w:r>
    </w:p>
    <w:p>
      <w:pPr>
        <w:tabs>
          <w:tab w:val="right" w:pos="9638" w:leader="dot"/>
        </w:tabs>
        <w:spacing w:after="40" w:line="240"/>
        <w:ind w:left="0"/>
      </w:pPr>
      <w:r>
        <w:rPr>
          <w:rFonts w:ascii="Calibri" w:cs="Calibri" w:eastAsia="Calibri" w:hAnsi="Calibri"/>
          <w:b/>
          <w:bCs/>
          <w:color w:val="1F3A5F"/>
          <w:sz w:val="21"/>
          <w:szCs w:val="21"/>
        </w:rPr>
        <w:t xml:space="preserve">9. Alınan Karar: Sadeleştirme ve Katmanlara Entegrasyon</w:t>
      </w:r>
      <w:r>
        <w:rPr>
          <w:rFonts w:ascii="Calibri" w:cs="Calibri" w:eastAsia="Calibri" w:hAnsi="Calibri"/>
          <w:color w:val="222222"/>
          <w:sz w:val="20"/>
          <w:szCs w:val="20"/>
        </w:rPr>
        <w:t xml:space="preserve">	13</w:t>
      </w:r>
    </w:p>
    <w:p>
      <w:pPr>
        <w:tabs>
          <w:tab w:val="right" w:pos="9638" w:leader="dot"/>
        </w:tabs>
        <w:spacing w:after="40" w:line="240"/>
        <w:ind w:left="340"/>
      </w:pPr>
      <w:r>
        <w:rPr>
          <w:rFonts w:ascii="Calibri" w:cs="Calibri" w:eastAsia="Calibri" w:hAnsi="Calibri"/>
          <w:b w:val="false"/>
          <w:bCs w:val="false"/>
          <w:color w:val="222222"/>
          <w:sz w:val="20"/>
          <w:szCs w:val="20"/>
        </w:rPr>
        <w:t xml:space="preserve">9.1. Karar kaydı</w:t>
      </w:r>
      <w:r>
        <w:rPr>
          <w:rFonts w:ascii="Calibri" w:cs="Calibri" w:eastAsia="Calibri" w:hAnsi="Calibri"/>
          <w:color w:val="222222"/>
          <w:sz w:val="20"/>
          <w:szCs w:val="20"/>
        </w:rPr>
        <w:t xml:space="preserve">	14</w:t>
      </w:r>
    </w:p>
    <w:p>
      <w:pPr>
        <w:tabs>
          <w:tab w:val="right" w:pos="9638" w:leader="dot"/>
        </w:tabs>
        <w:spacing w:after="40" w:line="240"/>
        <w:ind w:left="0"/>
      </w:pPr>
      <w:r>
        <w:rPr>
          <w:rFonts w:ascii="Calibri" w:cs="Calibri" w:eastAsia="Calibri" w:hAnsi="Calibri"/>
          <w:b/>
          <w:bCs/>
          <w:color w:val="1F3A5F"/>
          <w:sz w:val="21"/>
          <w:szCs w:val="21"/>
        </w:rPr>
        <w:t xml:space="preserve">10. Proje Hedeflerine Etkisi ve Risk Değerlendirmesi</w:t>
      </w:r>
      <w:r>
        <w:rPr>
          <w:rFonts w:ascii="Calibri" w:cs="Calibri" w:eastAsia="Calibri" w:hAnsi="Calibri"/>
          <w:color w:val="222222"/>
          <w:sz w:val="20"/>
          <w:szCs w:val="20"/>
        </w:rPr>
        <w:t xml:space="preserve">	14</w:t>
      </w:r>
    </w:p>
    <w:p>
      <w:pPr>
        <w:tabs>
          <w:tab w:val="right" w:pos="9638" w:leader="dot"/>
        </w:tabs>
        <w:spacing w:after="40" w:line="240"/>
        <w:ind w:left="0"/>
      </w:pPr>
      <w:r>
        <w:rPr>
          <w:rFonts w:ascii="Calibri" w:cs="Calibri" w:eastAsia="Calibri" w:hAnsi="Calibri"/>
          <w:b/>
          <w:bCs/>
          <w:color w:val="1F3A5F"/>
          <w:sz w:val="21"/>
          <w:szCs w:val="21"/>
        </w:rPr>
        <w:t xml:space="preserve">11. Sonuç</w:t>
      </w:r>
      <w:r>
        <w:rPr>
          <w:rFonts w:ascii="Calibri" w:cs="Calibri" w:eastAsia="Calibri" w:hAnsi="Calibri"/>
          <w:color w:val="222222"/>
          <w:sz w:val="20"/>
          <w:szCs w:val="20"/>
        </w:rPr>
        <w:t xml:space="preserve">	15</w:t>
      </w:r>
    </w:p>
    <w:p>
      <w:pPr>
        <w:tabs>
          <w:tab w:val="right" w:pos="9638" w:leader="dot"/>
        </w:tabs>
        <w:spacing w:after="40" w:line="240"/>
        <w:ind w:left="0"/>
      </w:pPr>
      <w:r>
        <w:rPr>
          <w:rFonts w:ascii="Calibri" w:cs="Calibri" w:eastAsia="Calibri" w:hAnsi="Calibri"/>
          <w:b/>
          <w:bCs/>
          <w:color w:val="1F3A5F"/>
          <w:sz w:val="21"/>
          <w:szCs w:val="21"/>
        </w:rPr>
        <w:t xml:space="preserve">Ek A — Simülasyon Parametreleri ve Sayısal Çıktılar</w:t>
      </w:r>
      <w:r>
        <w:rPr>
          <w:rFonts w:ascii="Calibri" w:cs="Calibri" w:eastAsia="Calibri" w:hAnsi="Calibri"/>
          <w:color w:val="222222"/>
          <w:sz w:val="20"/>
          <w:szCs w:val="20"/>
        </w:rPr>
        <w:t xml:space="preserve">	16</w:t>
      </w:r>
    </w:p>
    <w:p>
      <w:pPr>
        <w:tabs>
          <w:tab w:val="right" w:pos="9638" w:leader="dot"/>
        </w:tabs>
        <w:spacing w:after="40" w:line="240"/>
        <w:ind w:left="340"/>
      </w:pPr>
      <w:r>
        <w:rPr>
          <w:rFonts w:ascii="Calibri" w:cs="Calibri" w:eastAsia="Calibri" w:hAnsi="Calibri"/>
          <w:b w:val="false"/>
          <w:bCs w:val="false"/>
          <w:color w:val="222222"/>
          <w:sz w:val="20"/>
          <w:szCs w:val="20"/>
        </w:rPr>
        <w:t xml:space="preserve">A.1. Tek tesadüf — Senaryo B (W = 8000, m = 256)</w:t>
      </w:r>
      <w:r>
        <w:rPr>
          <w:rFonts w:ascii="Calibri" w:cs="Calibri" w:eastAsia="Calibri" w:hAnsi="Calibri"/>
          <w:color w:val="222222"/>
          <w:sz w:val="20"/>
          <w:szCs w:val="20"/>
        </w:rPr>
        <w:t xml:space="preserve">	16</w:t>
      </w:r>
    </w:p>
    <w:p>
      <w:pPr>
        <w:tabs>
          <w:tab w:val="right" w:pos="9638" w:leader="dot"/>
        </w:tabs>
        <w:spacing w:after="40" w:line="240"/>
        <w:ind w:left="340"/>
      </w:pPr>
      <w:r>
        <w:rPr>
          <w:rFonts w:ascii="Calibri" w:cs="Calibri" w:eastAsia="Calibri" w:hAnsi="Calibri"/>
          <w:b w:val="false"/>
          <w:bCs w:val="false"/>
          <w:color w:val="222222"/>
          <w:sz w:val="20"/>
          <w:szCs w:val="20"/>
        </w:rPr>
        <w:t xml:space="preserve">A.2. Çift tesadüf — Senaryo C (W_A = W_B = 8000)</w:t>
      </w:r>
      <w:r>
        <w:rPr>
          <w:rFonts w:ascii="Calibri" w:cs="Calibri" w:eastAsia="Calibri" w:hAnsi="Calibri"/>
          <w:color w:val="222222"/>
          <w:sz w:val="20"/>
          <w:szCs w:val="20"/>
        </w:rPr>
        <w:t xml:space="preserve">	16</w:t>
      </w:r>
    </w:p>
    <w:p>
      <w:pPr>
        <w:tabs>
          <w:tab w:val="right" w:pos="9638" w:leader="dot"/>
        </w:tabs>
        <w:spacing w:after="40" w:line="240"/>
        <w:ind w:left="340"/>
      </w:pPr>
      <w:r>
        <w:rPr>
          <w:rFonts w:ascii="Calibri" w:cs="Calibri" w:eastAsia="Calibri" w:hAnsi="Calibri"/>
          <w:b w:val="false"/>
          <w:bCs w:val="false"/>
          <w:color w:val="222222"/>
          <w:sz w:val="20"/>
          <w:szCs w:val="20"/>
        </w:rPr>
        <w:t xml:space="preserve">A.3. Gereken bütçenin pencere genişliğine bağımlılığı (m = 256)</w:t>
      </w:r>
      <w:r>
        <w:rPr>
          <w:rFonts w:ascii="Calibri" w:cs="Calibri" w:eastAsia="Calibri" w:hAnsi="Calibri"/>
          <w:color w:val="222222"/>
          <w:sz w:val="20"/>
          <w:szCs w:val="20"/>
        </w:rPr>
        <w:t xml:space="preserve">	16</w:t>
      </w:r>
    </w:p>
    <w:p>
      <w:pPr>
        <w:tabs>
          <w:tab w:val="right" w:pos="9638" w:leader="dot"/>
        </w:tabs>
        <w:spacing w:after="40" w:line="240"/>
        <w:ind w:left="340"/>
      </w:pPr>
      <w:r>
        <w:rPr>
          <w:rFonts w:ascii="Calibri" w:cs="Calibri" w:eastAsia="Calibri" w:hAnsi="Calibri"/>
          <w:b w:val="false"/>
          <w:bCs w:val="false"/>
          <w:color w:val="222222"/>
          <w:sz w:val="20"/>
          <w:szCs w:val="20"/>
        </w:rPr>
        <w:t xml:space="preserve">A.4. Profil isabet oranının etkisi (W = 8000, m = 256)</w:t>
      </w:r>
      <w:r>
        <w:rPr>
          <w:rFonts w:ascii="Calibri" w:cs="Calibri" w:eastAsia="Calibri" w:hAnsi="Calibri"/>
          <w:color w:val="222222"/>
          <w:sz w:val="20"/>
          <w:szCs w:val="20"/>
        </w:rPr>
        <w:t xml:space="preserve">	16</w:t>
      </w:r>
    </w:p>
    <w:p>
      <w:pPr>
        <w:tabs>
          <w:tab w:val="right" w:pos="9638" w:leader="dot"/>
        </w:tabs>
        <w:spacing w:after="40" w:line="240"/>
        <w:ind w:left="0"/>
      </w:pPr>
      <w:r>
        <w:rPr>
          <w:rFonts w:ascii="Calibri" w:cs="Calibri" w:eastAsia="Calibri" w:hAnsi="Calibri"/>
          <w:b/>
          <w:bCs/>
          <w:color w:val="1F3A5F"/>
          <w:sz w:val="21"/>
          <w:szCs w:val="21"/>
        </w:rPr>
        <w:t xml:space="preserve">Ek B — Simülasyonun Çekirdek Kodu</w:t>
      </w:r>
      <w:r>
        <w:rPr>
          <w:rFonts w:ascii="Calibri" w:cs="Calibri" w:eastAsia="Calibri" w:hAnsi="Calibri"/>
          <w:color w:val="222222"/>
          <w:sz w:val="20"/>
          <w:szCs w:val="20"/>
        </w:rPr>
        <w:t xml:space="preserve">	17</w:t>
      </w:r>
    </w:p>
    <w:p>
      <w:pPr>
        <w:tabs>
          <w:tab w:val="right" w:pos="9638" w:leader="dot"/>
        </w:tabs>
        <w:spacing w:after="40" w:line="240"/>
        <w:ind w:left="0"/>
      </w:pPr>
      <w:r>
        <w:rPr>
          <w:rFonts w:ascii="Calibri" w:cs="Calibri" w:eastAsia="Calibri" w:hAnsi="Calibri"/>
          <w:b/>
          <w:bCs/>
          <w:color w:val="1F3A5F"/>
          <w:sz w:val="21"/>
          <w:szCs w:val="21"/>
        </w:rPr>
        <w:t xml:space="preserve">Ek C — Kısaltmalar</w:t>
      </w:r>
      <w:r>
        <w:rPr>
          <w:rFonts w:ascii="Calibri" w:cs="Calibri" w:eastAsia="Calibri" w:hAnsi="Calibri"/>
          <w:color w:val="222222"/>
          <w:sz w:val="20"/>
          <w:szCs w:val="20"/>
        </w:rPr>
        <w:t xml:space="preserve">	17</w:t>
      </w:r>
    </w:p>
    <w:p>
      <w:pPr>
        <w:tabs>
          <w:tab w:val="right" w:pos="9638" w:leader="dot"/>
        </w:tabs>
        <w:spacing w:after="40" w:line="240"/>
        <w:ind w:left="0"/>
      </w:pPr>
      <w:r>
        <w:rPr>
          <w:rFonts w:ascii="Calibri" w:cs="Calibri" w:eastAsia="Calibri" w:hAnsi="Calibri"/>
          <w:b/>
          <w:bCs/>
          <w:color w:val="1F3A5F"/>
          <w:sz w:val="21"/>
          <w:szCs w:val="21"/>
        </w:rPr>
        <w:t xml:space="preserve">Ek D — Kaynaklar</w:t>
      </w:r>
      <w:r>
        <w:rPr>
          <w:rFonts w:ascii="Calibri" w:cs="Calibri" w:eastAsia="Calibri" w:hAnsi="Calibri"/>
          <w:color w:val="222222"/>
          <w:sz w:val="20"/>
          <w:szCs w:val="20"/>
        </w:rPr>
        <w:t xml:space="preserve">	18</w:t>
      </w:r>
    </w:p>
    <w:p>
      <w:r>
        <w:br w:type="page"/>
      </w:r>
    </w:p>
    <w:p>
      <w:pPr>
        <w:pStyle w:val="Heading1"/>
        <w:spacing w:after="160" w:before="320"/>
      </w:pPr>
      <w:r>
        <w:rPr>
          <w:rFonts w:ascii="Calibri" w:cs="Calibri" w:eastAsia="Calibri" w:hAnsi="Calibri"/>
          <w:b/>
          <w:bCs/>
          <w:color w:val="1F3A5F"/>
          <w:sz w:val="28"/>
          <w:szCs w:val="28"/>
        </w:rPr>
        <w:t xml:space="preserve">1. Yönetici Özeti</w:t>
      </w:r>
    </w:p>
    <w:p>
      <w:pPr>
        <w:spacing w:after="120" w:line="276"/>
        <w:jc w:val="both"/>
      </w:pPr>
      <w:r>
        <w:rPr>
          <w:b w:val="false"/>
          <w:bCs w:val="false"/>
          <w:i w:val="false"/>
          <w:iCs w:val="false"/>
          <w:sz w:val="22"/>
          <w:szCs w:val="22"/>
        </w:rPr>
        <w:t xml:space="preserve">Bu rapor, iş planında 01.12.2025 – 30.04.2026 aralığı için öngörülen “NATGhost algoritma raporu” ara çıktısının teknik içeriğini, algoritmanın analitik modelini, model üzerinde yürütülen simülasyon çalışmasının bulgularını ve prototip test çalışmaları sonucunda alınan mimari sadeleştirme kararının gerekçesini sunar. Çıktı 12.02.2026 tarihinde, öngörülen takvimden yaklaşık iki buçuk ay önce tamamlanmıştır.</w:t>
      </w:r>
    </w:p>
    <w:p>
      <w:pPr>
        <w:spacing w:after="120" w:line="276"/>
        <w:jc w:val="both"/>
      </w:pPr>
      <w:r>
        <w:rPr>
          <w:b w:val="false"/>
          <w:bCs w:val="false"/>
          <w:i w:val="false"/>
          <w:iCs w:val="false"/>
          <w:sz w:val="22"/>
          <w:szCs w:val="22"/>
        </w:rPr>
        <w:t xml:space="preserve">NATGhost, uçtan uca (P2P) iletişimde aktarım sunucusu (TURN/relay) bağımlılığını ortadan kaldırmayı hedefleyen, ICE (RFC 8445) protokolüne alternatif olarak tasarlanmış NAT-farkında bir bağlantı kurma algoritmasıdır. ICE’tan temel farkı, delme (hole punching) girişimine başlamadan önce her iki ucun NAT eşleme davranışını çalışma zamanında sınıflandırması ve simetrik NAT durumunda dış port atama dağılımını istatistiksel olarak profillemesidir. Bu profil, karşı uca sinyalleşme kanalı üzerinden iletilir ve delme stratejisi buna göre seçilir.</w:t>
      </w:r>
    </w:p>
    <w:p>
      <w:pPr>
        <w:spacing w:after="80" w:line="276"/>
        <w:jc w:val="both"/>
      </w:pPr>
      <w:r>
        <w:rPr>
          <w:b w:val="false"/>
          <w:bCs w:val="false"/>
          <w:i w:val="false"/>
          <w:iCs w:val="false"/>
          <w:sz w:val="22"/>
          <w:szCs w:val="22"/>
        </w:rPr>
        <w:t xml:space="preserve">Çalışmanın başlıca sonuçları:</w:t>
      </w:r>
    </w:p>
    <w:p>
      <w:pPr>
        <w:pStyle w:val="ListParagraph"/>
        <w:numPr>
          <w:ilvl w:val="0"/>
          <w:numId w:val="2"/>
        </w:numPr>
        <w:spacing w:after="80" w:line="276"/>
        <w:jc w:val="both"/>
      </w:pPr>
      <w:r>
        <w:rPr>
          <w:sz w:val="22"/>
          <w:szCs w:val="22"/>
        </w:rPr>
        <w:t xml:space="preserve">NAT eşleme sınıfı, tek yerel soketten paralel STUN sorgusu ve epoll tabanlı toplama ile birkaç yüz milisaniye mertebesinde ve yüksek güvenilirlikle belirlenebilmektedir; değerlendirmeye alınan yanıt sayısı arttıkça doğruluk hızla doyuma ulaşırken gecikme doğrusal büyüdüğünden, üç yanıtlık pencere çalışma noktası olarak seçilmiştir.</w:t>
      </w:r>
    </w:p>
    <w:p>
      <w:pPr>
        <w:pStyle w:val="ListParagraph"/>
        <w:numPr>
          <w:ilvl w:val="0"/>
          <w:numId w:val="2"/>
        </w:numPr>
        <w:spacing w:after="80" w:line="276"/>
        <w:jc w:val="both"/>
      </w:pPr>
      <w:r>
        <w:rPr>
          <w:sz w:val="22"/>
          <w:szCs w:val="22"/>
        </w:rPr>
        <w:t xml:space="preserve">Tek tarafın simetrik NAT ardında olduğu senaryoda, port profillemesiyle yönlendirilmiş tek yönlü port spraying, ICE’ın yapısal olarak yol kuramadığı koşulda kullanılabilir bir delme yolu açmaktadır. Analitik model ve Monte Carlo simülasyonu, profillemenin gereken deneme bütçesini büyüklük mertebesinde azalttığını göstermektedir.</w:t>
      </w:r>
    </w:p>
    <w:p>
      <w:pPr>
        <w:pStyle w:val="ListParagraph"/>
        <w:numPr>
          <w:ilvl w:val="0"/>
          <w:numId w:val="2"/>
        </w:numPr>
        <w:spacing w:after="80" w:line="276"/>
        <w:jc w:val="both"/>
      </w:pPr>
      <w:r>
        <w:rPr>
          <w:sz w:val="22"/>
          <w:szCs w:val="22"/>
        </w:rPr>
        <w:t xml:space="preserve">Her iki tarafın da simetrik NAT ardında olduğu senaryoda sonucun bütçeyle değil, NAT’ların süzme (filtering) davranışıyla belirlendiği ortaya konmuştur. İki tarafta da adres ve porta bağımlı süzme varsa gerekli olan “çift tesadüf”, gerçekçi bütçelerde yüzde birler mertebesinde bir olasılığa karşılık gelir; bu senaryo pratikte deterministik değildir.</w:t>
      </w:r>
    </w:p>
    <w:p>
      <w:pPr>
        <w:pStyle w:val="ListParagraph"/>
        <w:numPr>
          <w:ilvl w:val="0"/>
          <w:numId w:val="2"/>
        </w:numPr>
        <w:spacing w:after="80" w:line="276"/>
        <w:jc w:val="both"/>
      </w:pPr>
      <w:r>
        <w:rPr>
          <w:sz w:val="22"/>
          <w:szCs w:val="22"/>
        </w:rPr>
        <w:t xml:space="preserve">Prototip testlerinde başarı; bant genişliği, etkin verim ve güvenlik duvarı politikasıyla güçlü bir eşdeğişim göstermiş, hedeflenen deterministik başarı yerine koşullara bağlı olasılıksal başarı elde edilmiştir.</w:t>
      </w:r>
    </w:p>
    <w:p>
      <w:pPr>
        <w:spacing w:after="120" w:line="276"/>
        <w:jc w:val="both"/>
      </w:pPr>
      <w:r>
        <w:rPr>
          <w:b w:val="false"/>
          <w:bCs w:val="false"/>
          <w:i w:val="false"/>
          <w:iCs w:val="false"/>
          <w:sz w:val="22"/>
          <w:szCs w:val="22"/>
        </w:rPr>
        <w:t xml:space="preserve">Bu bulgular teknik olarak başarılı kabul edilmekle birlikte, mimari test çalışmaları sırasında NAT geçişi işlevlerinin sinyalleşme ve taşıma (transport) katmanlarından bağımsız bir bileşen olarak işletilemeyeceği sonucuna varılmıştır. Bağımsız bir NATGhost modülü; bağlantı ve oturum durumlarının birden fazla bileşende tekrar yönetilmesine, entegrasyon karmaşıklığına, ek kontrol bağlantısının bant genişliği maliyetine ve kurulum gecikmesine yol açmaktadır. Bu nedenle planlanan işlevlerin çoğu sadeleştirilmiş; NAT farkındalığı ve profil değişimi sinyalleşme katmanına, delme zamanlayıcısı ve soket havuzu yönetimi ise taşıma katmanına entegre edilmiştir. Bağımsız modülün ayrı oturum durum makinesi ve ayrı kontrol kanalı tümüyle kaldırılmıştır.</w:t>
      </w:r>
    </w:p>
    <w:p>
      <w:pPr>
        <w:spacing w:after="120" w:line="276"/>
        <w:jc w:val="both"/>
      </w:pPr>
      <w:r>
        <w:rPr>
          <w:b w:val="false"/>
          <w:bCs w:val="false"/>
          <w:i w:val="false"/>
          <w:iCs w:val="false"/>
          <w:sz w:val="22"/>
          <w:szCs w:val="22"/>
        </w:rPr>
        <w:t xml:space="preserve">Karar, iş paketi kapsamında bir başarısızlık değil, analitik ve deneysel doğrulama sonucunda alınmış bir sadeleştirme kararıdır: hedeflenen kabiliyet (simetrik NAT ardında aktarım sunucusuz bağlantı kurma) korunmuş, bu kabiliyeti taşıyan yazılım mimarisi ise üç bileşenden ikiye indirilmiştir.</w:t>
      </w:r>
    </w:p>
    <w:p>
      <w:pPr>
        <w:pStyle w:val="Heading1"/>
        <w:spacing w:after="160" w:before="320"/>
      </w:pPr>
      <w:r>
        <w:rPr>
          <w:rFonts w:ascii="Calibri" w:cs="Calibri" w:eastAsia="Calibri" w:hAnsi="Calibri"/>
          <w:b/>
          <w:bCs/>
          <w:color w:val="1F3A5F"/>
          <w:sz w:val="28"/>
          <w:szCs w:val="28"/>
        </w:rPr>
        <w:t xml:space="preserve">2. Amaç, Kapsam ve İş Planı ile İlişki</w:t>
      </w:r>
    </w:p>
    <w:p>
      <w:pPr>
        <w:pStyle w:val="Heading2"/>
        <w:spacing w:after="120" w:before="240"/>
      </w:pPr>
      <w:r>
        <w:rPr>
          <w:rFonts w:ascii="Calibri" w:cs="Calibri" w:eastAsia="Calibri" w:hAnsi="Calibri"/>
          <w:b/>
          <w:bCs/>
          <w:color w:val="1F3A5F"/>
          <w:sz w:val="24"/>
          <w:szCs w:val="24"/>
        </w:rPr>
        <w:t xml:space="preserve">2.1. Çıktının iş planındaki yeri</w:t>
      </w:r>
    </w:p>
    <w:p>
      <w:pPr>
        <w:spacing w:after="120" w:line="276"/>
        <w:jc w:val="both"/>
      </w:pPr>
      <w:r>
        <w:rPr>
          <w:b w:val="false"/>
          <w:bCs w:val="false"/>
          <w:i w:val="false"/>
          <w:iCs w:val="false"/>
          <w:sz w:val="22"/>
          <w:szCs w:val="22"/>
        </w:rPr>
        <w:t xml:space="preserve">İş planında “NATGhost algoritma raporu”, 608061 numaralı Ar-Ge Modülleri iş paketinin ara çıktısı olarak tanımlanmıştır. Çıktının amacı, platformun uçtan uca bağlantı kurma katmanında kullanılacak NAT geçiş algoritmasının tasarımını, uygulanabilirlik sınırlarını ve bu sınırların hangi değişkenlerce belirlendiğini belgelemektir.</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2600"/>
        <w:gridCol w:w="2100"/>
        <w:gridCol w:w="1900"/>
        <w:gridCol w:w="3038"/>
      </w:tblGrid>
      <w:tr>
        <w:trPr>
          <w:tblHeader/>
        </w:trPr>
        <w:tc>
          <w:tcPr>
            <w:tcW w:type="dxa" w:w="2600"/>
            <w:shd w:fill="DCE3EC" w:val="clear"/>
            <w:tcMar>
              <w:top w:type="dxa" w:w="70"/>
              <w:left w:type="dxa" w:w="100"/>
              <w:bottom w:type="dxa" w:w="70"/>
              <w:right w:type="dxa" w:w="100"/>
            </w:tcMar>
          </w:tcPr>
          <w:p>
            <w:pPr>
              <w:spacing w:after="0" w:line="240"/>
              <w:jc w:val="center"/>
            </w:pPr>
            <w:r>
              <w:rPr>
                <w:b/>
                <w:bCs/>
                <w:sz w:val="19"/>
                <w:szCs w:val="19"/>
              </w:rPr>
              <w:t xml:space="preserve">Çıktının adı</w:t>
            </w:r>
          </w:p>
        </w:tc>
        <w:tc>
          <w:tcPr>
            <w:tcW w:type="dxa" w:w="2100"/>
            <w:shd w:fill="DCE3EC" w:val="clear"/>
            <w:tcMar>
              <w:top w:type="dxa" w:w="70"/>
              <w:left w:type="dxa" w:w="100"/>
              <w:bottom w:type="dxa" w:w="70"/>
              <w:right w:type="dxa" w:w="100"/>
            </w:tcMar>
          </w:tcPr>
          <w:p>
            <w:pPr>
              <w:spacing w:after="0" w:line="240"/>
              <w:jc w:val="center"/>
            </w:pPr>
            <w:r>
              <w:rPr>
                <w:b/>
                <w:bCs/>
                <w:sz w:val="19"/>
                <w:szCs w:val="19"/>
              </w:rPr>
              <w:t xml:space="preserve">Planlanan zaman aralığı</w:t>
            </w:r>
          </w:p>
        </w:tc>
        <w:tc>
          <w:tcPr>
            <w:tcW w:type="dxa" w:w="1900"/>
            <w:shd w:fill="DCE3EC" w:val="clear"/>
            <w:tcMar>
              <w:top w:type="dxa" w:w="70"/>
              <w:left w:type="dxa" w:w="100"/>
              <w:bottom w:type="dxa" w:w="70"/>
              <w:right w:type="dxa" w:w="100"/>
            </w:tcMar>
          </w:tcPr>
          <w:p>
            <w:pPr>
              <w:spacing w:after="0" w:line="240"/>
              <w:jc w:val="center"/>
            </w:pPr>
            <w:r>
              <w:rPr>
                <w:b/>
                <w:bCs/>
                <w:sz w:val="19"/>
                <w:szCs w:val="19"/>
              </w:rPr>
              <w:t xml:space="preserve">Gerçekleşen tarih</w:t>
            </w:r>
          </w:p>
        </w:tc>
        <w:tc>
          <w:tcPr>
            <w:tcW w:type="dxa" w:w="3038"/>
            <w:shd w:fill="DCE3EC" w:val="clear"/>
            <w:tcMar>
              <w:top w:type="dxa" w:w="70"/>
              <w:left w:type="dxa" w:w="100"/>
              <w:bottom w:type="dxa" w:w="70"/>
              <w:right w:type="dxa" w:w="100"/>
            </w:tcMar>
          </w:tcPr>
          <w:p>
            <w:pPr>
              <w:spacing w:after="0" w:line="240"/>
              <w:jc w:val="center"/>
            </w:pPr>
            <w:r>
              <w:rPr>
                <w:b/>
                <w:bCs/>
                <w:sz w:val="19"/>
                <w:szCs w:val="19"/>
              </w:rPr>
              <w:t xml:space="preserve">Durum</w:t>
            </w:r>
          </w:p>
        </w:tc>
      </w:tr>
      <w:tr>
        <w:tc>
          <w:tcPr>
            <w:tcW w:type="dxa" w:w="2600"/>
            <w:tcMar>
              <w:top w:type="dxa" w:w="70"/>
              <w:left w:type="dxa" w:w="100"/>
              <w:bottom w:type="dxa" w:w="70"/>
              <w:right w:type="dxa" w:w="100"/>
            </w:tcMar>
          </w:tcPr>
          <w:p>
            <w:pPr>
              <w:spacing w:after="0" w:line="240"/>
              <w:jc w:val="left"/>
            </w:pPr>
            <w:r>
              <w:rPr>
                <w:b/>
                <w:bCs/>
                <w:sz w:val="19"/>
                <w:szCs w:val="19"/>
              </w:rPr>
              <w:t xml:space="preserve">NATGhost algoritma raporu</w:t>
            </w:r>
          </w:p>
        </w:tc>
        <w:tc>
          <w:tcPr>
            <w:tcW w:type="dxa" w:w="2100"/>
            <w:tcMar>
              <w:top w:type="dxa" w:w="70"/>
              <w:left w:type="dxa" w:w="100"/>
              <w:bottom w:type="dxa" w:w="70"/>
              <w:right w:type="dxa" w:w="100"/>
            </w:tcMar>
          </w:tcPr>
          <w:p>
            <w:pPr>
              <w:spacing w:after="0" w:line="240"/>
              <w:jc w:val="center"/>
            </w:pPr>
            <w:r>
              <w:rPr>
                <w:b w:val="false"/>
                <w:bCs w:val="false"/>
                <w:sz w:val="19"/>
                <w:szCs w:val="19"/>
              </w:rPr>
              <w:t xml:space="preserve">01.12.2025 – 30.04.2026</w:t>
            </w:r>
          </w:p>
        </w:tc>
        <w:tc>
          <w:tcPr>
            <w:tcW w:type="dxa" w:w="1900"/>
            <w:tcMar>
              <w:top w:type="dxa" w:w="70"/>
              <w:left w:type="dxa" w:w="100"/>
              <w:bottom w:type="dxa" w:w="70"/>
              <w:right w:type="dxa" w:w="100"/>
            </w:tcMar>
          </w:tcPr>
          <w:p>
            <w:pPr>
              <w:spacing w:after="0" w:line="240"/>
              <w:jc w:val="center"/>
            </w:pPr>
            <w:r>
              <w:rPr>
                <w:b w:val="false"/>
                <w:bCs w:val="false"/>
                <w:sz w:val="19"/>
                <w:szCs w:val="19"/>
              </w:rPr>
              <w:t xml:space="preserve">12.02.2026</w:t>
            </w:r>
          </w:p>
        </w:tc>
        <w:tc>
          <w:tcPr>
            <w:tcW w:type="dxa" w:w="3038"/>
            <w:tcMar>
              <w:top w:type="dxa" w:w="70"/>
              <w:left w:type="dxa" w:w="100"/>
              <w:bottom w:type="dxa" w:w="70"/>
              <w:right w:type="dxa" w:w="100"/>
            </w:tcMar>
          </w:tcPr>
          <w:p>
            <w:pPr>
              <w:spacing w:after="0" w:line="240"/>
              <w:jc w:val="center"/>
            </w:pPr>
            <w:r>
              <w:rPr>
                <w:b w:val="false"/>
                <w:bCs w:val="false"/>
                <w:sz w:val="19"/>
                <w:szCs w:val="19"/>
              </w:rPr>
              <w:t xml:space="preserve">Tamamlandı; öngörülen tarihten önce teslim edildi</w:t>
            </w:r>
          </w:p>
        </w:tc>
      </w:tr>
    </w:tbl>
    <w:p>
      <w:pPr>
        <w:spacing w:after="220" w:before="60"/>
        <w:jc w:val="center"/>
      </w:pPr>
      <w:r>
        <w:rPr>
          <w:i/>
          <w:iCs/>
          <w:color w:val="555555"/>
          <w:sz w:val="18"/>
          <w:szCs w:val="18"/>
        </w:rPr>
        <w:t xml:space="preserve">Tablo 1 — Ara çıktının planlanan ve gerçekleşen durumu.</w:t>
      </w:r>
    </w:p>
    <w:p>
      <w:pPr>
        <w:pStyle w:val="Heading2"/>
        <w:spacing w:after="120" w:before="240"/>
      </w:pPr>
      <w:r>
        <w:rPr>
          <w:rFonts w:ascii="Calibri" w:cs="Calibri" w:eastAsia="Calibri" w:hAnsi="Calibri"/>
          <w:b/>
          <w:bCs/>
          <w:color w:val="1F3A5F"/>
          <w:sz w:val="24"/>
          <w:szCs w:val="24"/>
        </w:rPr>
        <w:t xml:space="preserve">2.2. Raporun yöntemi ve kanıt düzeyleri</w:t>
      </w:r>
    </w:p>
    <w:p>
      <w:pPr>
        <w:spacing w:after="120" w:line="276"/>
        <w:jc w:val="both"/>
      </w:pPr>
      <w:r>
        <w:rPr>
          <w:b w:val="false"/>
          <w:bCs w:val="false"/>
          <w:i w:val="false"/>
          <w:iCs w:val="false"/>
          <w:sz w:val="22"/>
          <w:szCs w:val="22"/>
        </w:rPr>
        <w:t xml:space="preserve">Rapor iki farklı kanıt düzeyini bilinçli olarak ayırarak sunar. Birincisi analitik ve simülasyona dayalı düzeydir: Bölüm 5’te kurulan olasılık modeli ve Bölüm 6’daki Monte Carlo çalışması, parametreleri açıkça verilmiş, yeniden üretilebilir sonuçlardır; simülasyonun çekirdek kodu Ek B’de listelenmiştir. İkincisi prototip test düzeyidir: Bölüm 7’de, geliştirme sırasında yürütülen prototip denemelerinden elde edilen gözlemler niteliksel olarak, yani eğilim ve sıralama düzeyinde raporlanmıştır. Prototip denemeleri kontrollü bir ölçüm kampanyası olarak değil, tasarım kararlarını yönlendiren mühendislik denemeleri olarak yürütüldüğünden, bu bölümde sayısal başarım değeri iddia edilmemektedir. Sayısal büyüklükler yalnızca modelin öngörüsü olarak ve model varsayımları belirtilerek verilmiştir.</w:t>
      </w:r>
    </w:p>
    <w:p>
      <w:pPr>
        <w:pStyle w:val="Heading1"/>
        <w:spacing w:after="160" w:before="320"/>
      </w:pPr>
      <w:r>
        <w:rPr>
          <w:rFonts w:ascii="Calibri" w:cs="Calibri" w:eastAsia="Calibri" w:hAnsi="Calibri"/>
          <w:b/>
          <w:bCs/>
          <w:color w:val="1F3A5F"/>
          <w:sz w:val="28"/>
          <w:szCs w:val="28"/>
        </w:rPr>
        <w:t xml:space="preserve">3. Problem Tanımı ve Teknik Gerekçe</w:t>
      </w:r>
    </w:p>
    <w:p>
      <w:pPr>
        <w:pStyle w:val="Heading2"/>
        <w:spacing w:after="120" w:before="240"/>
      </w:pPr>
      <w:r>
        <w:rPr>
          <w:rFonts w:ascii="Calibri" w:cs="Calibri" w:eastAsia="Calibri" w:hAnsi="Calibri"/>
          <w:b/>
          <w:bCs/>
          <w:color w:val="1F3A5F"/>
          <w:sz w:val="24"/>
          <w:szCs w:val="24"/>
        </w:rPr>
        <w:t xml:space="preserve">3.1. NAT eşleme davranışı</w:t>
      </w:r>
    </w:p>
    <w:p>
      <w:pPr>
        <w:spacing w:after="120" w:line="276"/>
        <w:jc w:val="both"/>
      </w:pPr>
      <w:r>
        <w:rPr>
          <w:b w:val="false"/>
          <w:bCs w:val="false"/>
          <w:i w:val="false"/>
          <w:iCs w:val="false"/>
          <w:sz w:val="22"/>
          <w:szCs w:val="22"/>
        </w:rPr>
        <w:t xml:space="preserve">RFC 4787, NAT davranışını eşleme (mapping) ve süzme (filtering) olmak üzere iki bağımsız eksende tanımlar. Eşleme ekseninde üç sınıf vardır: uç noktadan bağımsız eşleme, adrese bağımlı eşleme ve adres ile porta bağımlı eşleme. Yaygın literatürde “simetrik NAT” denilen sınıf sonuncusudur: aynı yerel soketten farklı bir hedefe gönderilen her paket için NAT yeni ve önceden kestirilemeyen bir dış port tahsis eder; yani dış eşleme, beşlinin (5-tuple) bir fonksiyonudur.</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3000"/>
        <w:gridCol w:w="3319"/>
        <w:gridCol w:w="3319"/>
      </w:tblGrid>
      <w:tr>
        <w:trPr>
          <w:tblHeader/>
        </w:trPr>
        <w:tc>
          <w:tcPr>
            <w:tcW w:type="dxa" w:w="3000"/>
            <w:shd w:fill="DCE3EC" w:val="clear"/>
            <w:tcMar>
              <w:top w:type="dxa" w:w="70"/>
              <w:left w:type="dxa" w:w="100"/>
              <w:bottom w:type="dxa" w:w="70"/>
              <w:right w:type="dxa" w:w="100"/>
            </w:tcMar>
          </w:tcPr>
          <w:p>
            <w:pPr>
              <w:spacing w:after="0" w:line="240"/>
              <w:jc w:val="center"/>
            </w:pPr>
            <w:r>
              <w:rPr>
                <w:b/>
                <w:bCs/>
                <w:sz w:val="19"/>
                <w:szCs w:val="19"/>
              </w:rPr>
              <w:t xml:space="preserve">Gözlem (aynı yerel soket, farklı STUN sunucuları)</w:t>
            </w:r>
          </w:p>
        </w:tc>
        <w:tc>
          <w:tcPr>
            <w:tcW w:type="dxa" w:w="3319"/>
            <w:shd w:fill="DCE3EC" w:val="clear"/>
            <w:tcMar>
              <w:top w:type="dxa" w:w="70"/>
              <w:left w:type="dxa" w:w="100"/>
              <w:bottom w:type="dxa" w:w="70"/>
              <w:right w:type="dxa" w:w="100"/>
            </w:tcMar>
          </w:tcPr>
          <w:p>
            <w:pPr>
              <w:spacing w:after="0" w:line="240"/>
              <w:jc w:val="center"/>
            </w:pPr>
            <w:r>
              <w:rPr>
                <w:b/>
                <w:bCs/>
                <w:sz w:val="19"/>
                <w:szCs w:val="19"/>
              </w:rPr>
              <w:t xml:space="preserve">Sonuç</w:t>
            </w:r>
          </w:p>
        </w:tc>
        <w:tc>
          <w:tcPr>
            <w:tcW w:type="dxa" w:w="3319"/>
            <w:shd w:fill="DCE3EC" w:val="clear"/>
            <w:tcMar>
              <w:top w:type="dxa" w:w="70"/>
              <w:left w:type="dxa" w:w="100"/>
              <w:bottom w:type="dxa" w:w="70"/>
              <w:right w:type="dxa" w:w="100"/>
            </w:tcMar>
          </w:tcPr>
          <w:p>
            <w:pPr>
              <w:spacing w:after="0" w:line="240"/>
              <w:jc w:val="center"/>
            </w:pPr>
            <w:r>
              <w:rPr>
                <w:b/>
                <w:bCs/>
                <w:sz w:val="19"/>
                <w:szCs w:val="19"/>
              </w:rPr>
              <w:t xml:space="preserve">Delme açısından anlamı</w:t>
            </w:r>
          </w:p>
        </w:tc>
      </w:tr>
      <w:tr>
        <w:tc>
          <w:tcPr>
            <w:tcW w:type="dxa" w:w="3000"/>
            <w:tcMar>
              <w:top w:type="dxa" w:w="70"/>
              <w:left w:type="dxa" w:w="100"/>
              <w:bottom w:type="dxa" w:w="70"/>
              <w:right w:type="dxa" w:w="100"/>
            </w:tcMar>
          </w:tcPr>
          <w:p>
            <w:pPr>
              <w:spacing w:after="0" w:line="240"/>
              <w:jc w:val="left"/>
            </w:pPr>
            <w:r>
              <w:rPr>
                <w:b w:val="false"/>
                <w:bCs w:val="false"/>
                <w:sz w:val="19"/>
                <w:szCs w:val="19"/>
              </w:rPr>
              <w:t xml:space="preserve">Dönen genel IP’ler aynı, genel portlar aynı</w:t>
            </w:r>
          </w:p>
        </w:tc>
        <w:tc>
          <w:tcPr>
            <w:tcW w:type="dxa" w:w="3319"/>
            <w:tcMar>
              <w:top w:type="dxa" w:w="70"/>
              <w:left w:type="dxa" w:w="100"/>
              <w:bottom w:type="dxa" w:w="70"/>
              <w:right w:type="dxa" w:w="100"/>
            </w:tcMar>
          </w:tcPr>
          <w:p>
            <w:pPr>
              <w:spacing w:after="0" w:line="240"/>
              <w:jc w:val="left"/>
            </w:pPr>
            <w:r>
              <w:rPr>
                <w:b w:val="false"/>
                <w:bCs w:val="false"/>
                <w:sz w:val="19"/>
                <w:szCs w:val="19"/>
              </w:rPr>
              <w:t xml:space="preserve">Uç noktadan bağımsız eşleme (simetrik değil)</w:t>
            </w:r>
          </w:p>
        </w:tc>
        <w:tc>
          <w:tcPr>
            <w:tcW w:type="dxa" w:w="3319"/>
            <w:tcMar>
              <w:top w:type="dxa" w:w="70"/>
              <w:left w:type="dxa" w:w="100"/>
              <w:bottom w:type="dxa" w:w="70"/>
              <w:right w:type="dxa" w:w="100"/>
            </w:tcMar>
          </w:tcPr>
          <w:p>
            <w:pPr>
              <w:spacing w:after="0" w:line="240"/>
              <w:jc w:val="left"/>
            </w:pPr>
            <w:r>
              <w:rPr>
                <w:b w:val="false"/>
                <w:bCs w:val="false"/>
                <w:sz w:val="19"/>
                <w:szCs w:val="19"/>
              </w:rPr>
              <w:t xml:space="preserve">Sunucudan yansıyan aday (srflx) karşı uç için geçerlidir; klasik ICE çalışır</w:t>
            </w:r>
          </w:p>
        </w:tc>
      </w:tr>
      <w:tr>
        <w:tc>
          <w:tcPr>
            <w:tcW w:type="dxa" w:w="3000"/>
            <w:tcMar>
              <w:top w:type="dxa" w:w="70"/>
              <w:left w:type="dxa" w:w="100"/>
              <w:bottom w:type="dxa" w:w="70"/>
              <w:right w:type="dxa" w:w="100"/>
            </w:tcMar>
          </w:tcPr>
          <w:p>
            <w:pPr>
              <w:spacing w:after="0" w:line="240"/>
              <w:jc w:val="left"/>
            </w:pPr>
            <w:r>
              <w:rPr>
                <w:b w:val="false"/>
                <w:bCs w:val="false"/>
                <w:sz w:val="19"/>
                <w:szCs w:val="19"/>
              </w:rPr>
              <w:t xml:space="preserve">Dönen genel IP’ler aynı, genel portlar farklı</w:t>
            </w:r>
          </w:p>
        </w:tc>
        <w:tc>
          <w:tcPr>
            <w:tcW w:type="dxa" w:w="3319"/>
            <w:tcMar>
              <w:top w:type="dxa" w:w="70"/>
              <w:left w:type="dxa" w:w="100"/>
              <w:bottom w:type="dxa" w:w="70"/>
              <w:right w:type="dxa" w:w="100"/>
            </w:tcMar>
          </w:tcPr>
          <w:p>
            <w:pPr>
              <w:spacing w:after="0" w:line="240"/>
              <w:jc w:val="left"/>
            </w:pPr>
            <w:r>
              <w:rPr>
                <w:b w:val="false"/>
                <w:bCs w:val="false"/>
                <w:sz w:val="19"/>
                <w:szCs w:val="19"/>
              </w:rPr>
              <w:t xml:space="preserve">Adres/porta bağımlı eşleme (simetrik)</w:t>
            </w:r>
          </w:p>
        </w:tc>
        <w:tc>
          <w:tcPr>
            <w:tcW w:type="dxa" w:w="3319"/>
            <w:tcMar>
              <w:top w:type="dxa" w:w="70"/>
              <w:left w:type="dxa" w:w="100"/>
              <w:bottom w:type="dxa" w:w="70"/>
              <w:right w:type="dxa" w:w="100"/>
            </w:tcMar>
          </w:tcPr>
          <w:p>
            <w:pPr>
              <w:spacing w:after="0" w:line="240"/>
              <w:jc w:val="left"/>
            </w:pPr>
            <w:r>
              <w:rPr>
                <w:b w:val="false"/>
                <w:bCs w:val="false"/>
                <w:sz w:val="19"/>
                <w:szCs w:val="19"/>
              </w:rPr>
              <w:t xml:space="preserve">srflx aday karşı uç için geçersizdir; hedef port tahmin edilmelidir</w:t>
            </w:r>
          </w:p>
        </w:tc>
      </w:tr>
      <w:tr>
        <w:tc>
          <w:tcPr>
            <w:tcW w:type="dxa" w:w="3000"/>
            <w:tcMar>
              <w:top w:type="dxa" w:w="70"/>
              <w:left w:type="dxa" w:w="100"/>
              <w:bottom w:type="dxa" w:w="70"/>
              <w:right w:type="dxa" w:w="100"/>
            </w:tcMar>
          </w:tcPr>
          <w:p>
            <w:pPr>
              <w:spacing w:after="0" w:line="240"/>
              <w:jc w:val="left"/>
            </w:pPr>
            <w:r>
              <w:rPr>
                <w:b w:val="false"/>
                <w:bCs w:val="false"/>
                <w:sz w:val="19"/>
                <w:szCs w:val="19"/>
              </w:rPr>
              <w:t xml:space="preserve">Dönen genel IP’ler farklı</w:t>
            </w:r>
          </w:p>
        </w:tc>
        <w:tc>
          <w:tcPr>
            <w:tcW w:type="dxa" w:w="3319"/>
            <w:tcMar>
              <w:top w:type="dxa" w:w="70"/>
              <w:left w:type="dxa" w:w="100"/>
              <w:bottom w:type="dxa" w:w="70"/>
              <w:right w:type="dxa" w:w="100"/>
            </w:tcMar>
          </w:tcPr>
          <w:p>
            <w:pPr>
              <w:spacing w:after="0" w:line="240"/>
              <w:jc w:val="left"/>
            </w:pPr>
            <w:r>
              <w:rPr>
                <w:b w:val="false"/>
                <w:bCs w:val="false"/>
                <w:sz w:val="19"/>
                <w:szCs w:val="19"/>
              </w:rPr>
              <w:t xml:space="preserve">Çoklu genel IP havuzu / CGNAT</w:t>
            </w:r>
          </w:p>
        </w:tc>
        <w:tc>
          <w:tcPr>
            <w:tcW w:type="dxa" w:w="3319"/>
            <w:tcMar>
              <w:top w:type="dxa" w:w="70"/>
              <w:left w:type="dxa" w:w="100"/>
              <w:bottom w:type="dxa" w:w="70"/>
              <w:right w:type="dxa" w:w="100"/>
            </w:tcMar>
          </w:tcPr>
          <w:p>
            <w:pPr>
              <w:spacing w:after="0" w:line="240"/>
              <w:jc w:val="left"/>
            </w:pPr>
            <w:r>
              <w:rPr>
                <w:b w:val="false"/>
                <w:bCs w:val="false"/>
                <w:sz w:val="19"/>
                <w:szCs w:val="19"/>
              </w:rPr>
              <w:t xml:space="preserve">Port tahminine ek olarak IP kümesi de profillenmelidir</w:t>
            </w:r>
          </w:p>
        </w:tc>
      </w:tr>
    </w:tbl>
    <w:p>
      <w:pPr>
        <w:spacing w:after="220" w:before="60"/>
        <w:jc w:val="center"/>
      </w:pPr>
      <w:r>
        <w:rPr>
          <w:i/>
          <w:iCs/>
          <w:color w:val="555555"/>
          <w:sz w:val="18"/>
          <w:szCs w:val="18"/>
        </w:rPr>
        <w:t xml:space="preserve">Tablo 2 — STUN prob yanıtlarından NAT eşleme sınıfının çıkarımı.</w:t>
      </w:r>
    </w:p>
    <w:p>
      <w:pPr>
        <w:pStyle w:val="Heading2"/>
        <w:spacing w:after="120" w:before="240"/>
      </w:pPr>
      <w:r>
        <w:rPr>
          <w:rFonts w:ascii="Calibri" w:cs="Calibri" w:eastAsia="Calibri" w:hAnsi="Calibri"/>
          <w:b/>
          <w:bCs/>
          <w:color w:val="1F3A5F"/>
          <w:sz w:val="24"/>
          <w:szCs w:val="24"/>
        </w:rPr>
        <w:t xml:space="preserve">3.2. Süzme davranışı ve delme için gereken koşul</w:t>
      </w:r>
    </w:p>
    <w:p>
      <w:pPr>
        <w:spacing w:after="120" w:line="276"/>
        <w:jc w:val="both"/>
      </w:pPr>
      <w:r>
        <w:rPr>
          <w:b w:val="false"/>
          <w:bCs w:val="false"/>
          <w:i w:val="false"/>
          <w:iCs w:val="false"/>
          <w:sz w:val="22"/>
          <w:szCs w:val="22"/>
        </w:rPr>
        <w:t xml:space="preserve">Delme başarısını belirleyen ikinci ve çoğu tasarımda gözden kaçan eksen süzmedir. Süzme davranışı, bir NAT’ın kendi açtığı bir eşlemeye dışarıdan gelen paketi hangi koşulla kabul ettiğini tanımlar ve delme için sağlanması gereken koşulu doğrudan belirler.</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2500"/>
        <w:gridCol w:w="3400"/>
        <w:gridCol w:w="3738"/>
      </w:tblGrid>
      <w:tr>
        <w:trPr>
          <w:tblHeader/>
        </w:trPr>
        <w:tc>
          <w:tcPr>
            <w:tcW w:type="dxa" w:w="2500"/>
            <w:shd w:fill="DCE3EC" w:val="clear"/>
            <w:tcMar>
              <w:top w:type="dxa" w:w="70"/>
              <w:left w:type="dxa" w:w="100"/>
              <w:bottom w:type="dxa" w:w="70"/>
              <w:right w:type="dxa" w:w="100"/>
            </w:tcMar>
          </w:tcPr>
          <w:p>
            <w:pPr>
              <w:spacing w:after="0" w:line="240"/>
              <w:jc w:val="center"/>
            </w:pPr>
            <w:r>
              <w:rPr>
                <w:b/>
                <w:bCs/>
                <w:sz w:val="19"/>
                <w:szCs w:val="19"/>
              </w:rPr>
              <w:t xml:space="preserve">Süzme davranışı</w:t>
            </w:r>
          </w:p>
        </w:tc>
        <w:tc>
          <w:tcPr>
            <w:tcW w:type="dxa" w:w="3400"/>
            <w:shd w:fill="DCE3EC" w:val="clear"/>
            <w:tcMar>
              <w:top w:type="dxa" w:w="70"/>
              <w:left w:type="dxa" w:w="100"/>
              <w:bottom w:type="dxa" w:w="70"/>
              <w:right w:type="dxa" w:w="100"/>
            </w:tcMar>
          </w:tcPr>
          <w:p>
            <w:pPr>
              <w:spacing w:after="0" w:line="240"/>
              <w:jc w:val="center"/>
            </w:pPr>
            <w:r>
              <w:rPr>
                <w:b/>
                <w:bCs/>
                <w:sz w:val="19"/>
                <w:szCs w:val="19"/>
              </w:rPr>
              <w:t xml:space="preserve">Gelen paketi kabul koşulu</w:t>
            </w:r>
          </w:p>
        </w:tc>
        <w:tc>
          <w:tcPr>
            <w:tcW w:type="dxa" w:w="3738"/>
            <w:shd w:fill="DCE3EC" w:val="clear"/>
            <w:tcMar>
              <w:top w:type="dxa" w:w="70"/>
              <w:left w:type="dxa" w:w="100"/>
              <w:bottom w:type="dxa" w:w="70"/>
              <w:right w:type="dxa" w:w="100"/>
            </w:tcMar>
          </w:tcPr>
          <w:p>
            <w:pPr>
              <w:spacing w:after="0" w:line="240"/>
              <w:jc w:val="center"/>
            </w:pPr>
            <w:r>
              <w:rPr>
                <w:b/>
                <w:bCs/>
                <w:sz w:val="19"/>
                <w:szCs w:val="19"/>
              </w:rPr>
              <w:t xml:space="preserve">Delme için gereken</w:t>
            </w:r>
          </w:p>
        </w:tc>
      </w:tr>
      <w:tr>
        <w:tc>
          <w:tcPr>
            <w:tcW w:type="dxa" w:w="2500"/>
            <w:tcMar>
              <w:top w:type="dxa" w:w="70"/>
              <w:left w:type="dxa" w:w="100"/>
              <w:bottom w:type="dxa" w:w="70"/>
              <w:right w:type="dxa" w:w="100"/>
            </w:tcMar>
          </w:tcPr>
          <w:p>
            <w:pPr>
              <w:spacing w:after="0" w:line="240"/>
              <w:jc w:val="left"/>
            </w:pPr>
            <w:r>
              <w:rPr>
                <w:b/>
                <w:bCs/>
                <w:sz w:val="19"/>
                <w:szCs w:val="19"/>
              </w:rPr>
              <w:t xml:space="preserve">Uç noktadan bağımsız süzme</w:t>
            </w:r>
          </w:p>
        </w:tc>
        <w:tc>
          <w:tcPr>
            <w:tcW w:type="dxa" w:w="3400"/>
            <w:tcMar>
              <w:top w:type="dxa" w:w="70"/>
              <w:left w:type="dxa" w:w="100"/>
              <w:bottom w:type="dxa" w:w="70"/>
              <w:right w:type="dxa" w:w="100"/>
            </w:tcMar>
          </w:tcPr>
          <w:p>
            <w:pPr>
              <w:spacing w:after="0" w:line="240"/>
              <w:jc w:val="left"/>
            </w:pPr>
            <w:r>
              <w:rPr>
                <w:b w:val="false"/>
                <w:bCs w:val="false"/>
                <w:sz w:val="19"/>
                <w:szCs w:val="19"/>
              </w:rPr>
              <w:t xml:space="preserve">Eşleme açık olduğu sürece herhangi bir kaynaktan</w:t>
            </w:r>
          </w:p>
        </w:tc>
        <w:tc>
          <w:tcPr>
            <w:tcW w:type="dxa" w:w="3738"/>
            <w:tcMar>
              <w:top w:type="dxa" w:w="70"/>
              <w:left w:type="dxa" w:w="100"/>
              <w:bottom w:type="dxa" w:w="70"/>
              <w:right w:type="dxa" w:w="100"/>
            </w:tcMar>
          </w:tcPr>
          <w:p>
            <w:pPr>
              <w:spacing w:after="0" w:line="240"/>
              <w:jc w:val="left"/>
            </w:pPr>
            <w:r>
              <w:rPr>
                <w:b w:val="false"/>
                <w:bCs w:val="false"/>
                <w:sz w:val="19"/>
                <w:szCs w:val="19"/>
              </w:rPr>
              <w:t xml:space="preserve">Tek paket; tahmin gerekmez</w:t>
            </w:r>
          </w:p>
        </w:tc>
      </w:tr>
      <w:tr>
        <w:tc>
          <w:tcPr>
            <w:tcW w:type="dxa" w:w="2500"/>
            <w:tcMar>
              <w:top w:type="dxa" w:w="70"/>
              <w:left w:type="dxa" w:w="100"/>
              <w:bottom w:type="dxa" w:w="70"/>
              <w:right w:type="dxa" w:w="100"/>
            </w:tcMar>
          </w:tcPr>
          <w:p>
            <w:pPr>
              <w:spacing w:after="0" w:line="240"/>
              <w:jc w:val="left"/>
            </w:pPr>
            <w:r>
              <w:rPr>
                <w:b/>
                <w:bCs/>
                <w:sz w:val="19"/>
                <w:szCs w:val="19"/>
              </w:rPr>
              <w:t xml:space="preserve">Adrese bağımlı süzme</w:t>
            </w:r>
          </w:p>
        </w:tc>
        <w:tc>
          <w:tcPr>
            <w:tcW w:type="dxa" w:w="3400"/>
            <w:tcMar>
              <w:top w:type="dxa" w:w="70"/>
              <w:left w:type="dxa" w:w="100"/>
              <w:bottom w:type="dxa" w:w="70"/>
              <w:right w:type="dxa" w:w="100"/>
            </w:tcMar>
          </w:tcPr>
          <w:p>
            <w:pPr>
              <w:spacing w:after="0" w:line="240"/>
              <w:jc w:val="left"/>
            </w:pPr>
            <w:r>
              <w:rPr>
                <w:b w:val="false"/>
                <w:bCs w:val="false"/>
                <w:sz w:val="19"/>
                <w:szCs w:val="19"/>
              </w:rPr>
              <w:t xml:space="preserve">Eşlemeyi doğuran paketin gittiği IP’den, herhangi bir porttan</w:t>
            </w:r>
          </w:p>
        </w:tc>
        <w:tc>
          <w:tcPr>
            <w:tcW w:type="dxa" w:w="3738"/>
            <w:tcMar>
              <w:top w:type="dxa" w:w="70"/>
              <w:left w:type="dxa" w:w="100"/>
              <w:bottom w:type="dxa" w:w="70"/>
              <w:right w:type="dxa" w:w="100"/>
            </w:tcMar>
          </w:tcPr>
          <w:p>
            <w:pPr>
              <w:spacing w:after="0" w:line="240"/>
              <w:jc w:val="left"/>
            </w:pPr>
            <w:r>
              <w:rPr>
                <w:b w:val="false"/>
                <w:bCs w:val="false"/>
                <w:sz w:val="19"/>
                <w:szCs w:val="19"/>
              </w:rPr>
              <w:t xml:space="preserve">Kaynak portu serbesttir; karşı ucun IP’sine önceden bir paket çıkmış olması yeterlidir</w:t>
            </w:r>
          </w:p>
        </w:tc>
      </w:tr>
      <w:tr>
        <w:tc>
          <w:tcPr>
            <w:tcW w:type="dxa" w:w="2500"/>
            <w:tcMar>
              <w:top w:type="dxa" w:w="70"/>
              <w:left w:type="dxa" w:w="100"/>
              <w:bottom w:type="dxa" w:w="70"/>
              <w:right w:type="dxa" w:w="100"/>
            </w:tcMar>
          </w:tcPr>
          <w:p>
            <w:pPr>
              <w:spacing w:after="0" w:line="240"/>
              <w:jc w:val="left"/>
            </w:pPr>
            <w:r>
              <w:rPr>
                <w:b/>
                <w:bCs/>
                <w:sz w:val="19"/>
                <w:szCs w:val="19"/>
              </w:rPr>
              <w:t xml:space="preserve">Adres ve porta bağımlı süzme</w:t>
            </w:r>
          </w:p>
        </w:tc>
        <w:tc>
          <w:tcPr>
            <w:tcW w:type="dxa" w:w="3400"/>
            <w:tcMar>
              <w:top w:type="dxa" w:w="70"/>
              <w:left w:type="dxa" w:w="100"/>
              <w:bottom w:type="dxa" w:w="70"/>
              <w:right w:type="dxa" w:w="100"/>
            </w:tcMar>
          </w:tcPr>
          <w:p>
            <w:pPr>
              <w:spacing w:after="0" w:line="240"/>
              <w:jc w:val="left"/>
            </w:pPr>
            <w:r>
              <w:rPr>
                <w:b w:val="false"/>
                <w:bCs w:val="false"/>
                <w:sz w:val="19"/>
                <w:szCs w:val="19"/>
              </w:rPr>
              <w:t xml:space="preserve">Yalnızca eşlemeyi doğuran paketin gittiği IP ve port çiftinden</w:t>
            </w:r>
          </w:p>
        </w:tc>
        <w:tc>
          <w:tcPr>
            <w:tcW w:type="dxa" w:w="3738"/>
            <w:tcMar>
              <w:top w:type="dxa" w:w="70"/>
              <w:left w:type="dxa" w:w="100"/>
              <w:bottom w:type="dxa" w:w="70"/>
              <w:right w:type="dxa" w:w="100"/>
            </w:tcMar>
          </w:tcPr>
          <w:p>
            <w:pPr>
              <w:spacing w:after="0" w:line="240"/>
              <w:jc w:val="left"/>
            </w:pPr>
            <w:r>
              <w:rPr>
                <w:b w:val="false"/>
                <w:bCs w:val="false"/>
                <w:sz w:val="19"/>
                <w:szCs w:val="19"/>
              </w:rPr>
              <w:t xml:space="preserve">Kaynak portu da eşleşmelidir; iki taraf da simetrikse çift tesadüf gerekir</w:t>
            </w:r>
          </w:p>
        </w:tc>
      </w:tr>
    </w:tbl>
    <w:p>
      <w:pPr>
        <w:spacing w:after="220" w:before="60"/>
        <w:jc w:val="center"/>
      </w:pPr>
      <w:r>
        <w:rPr>
          <w:i/>
          <w:iCs/>
          <w:color w:val="555555"/>
          <w:sz w:val="18"/>
          <w:szCs w:val="18"/>
        </w:rPr>
        <w:t xml:space="preserve">Tablo 3 — Süzme davranışına göre delme için sağlanması gereken koşul.</w:t>
      </w:r>
    </w:p>
    <w:p>
      <w:pPr>
        <w:spacing w:after="120" w:line="276"/>
        <w:jc w:val="both"/>
      </w:pPr>
      <w:r>
        <w:rPr>
          <w:b w:val="false"/>
          <w:bCs w:val="false"/>
          <w:i w:val="false"/>
          <w:iCs w:val="false"/>
          <w:sz w:val="22"/>
          <w:szCs w:val="22"/>
        </w:rPr>
        <w:t xml:space="preserve">Bu ayrım, Bölüm 5’teki modelin temelidir: tek tarafın simetrik olduğu durumda tek bir tesadüf yeterliyken, iki tarafın da simetrik ve adres–porta bağımlı süzme uyguladığı durumda iki bağımsız tesadüfün aynı anda gerçekleşmesi gerekir. Aradaki fark, bir olasılık ile iki olasılığın çarpımı arasındaki farktır ve pratikte belirleyicidir.</w:t>
      </w:r>
    </w:p>
    <w:p>
      <w:pPr>
        <w:pStyle w:val="Heading2"/>
        <w:spacing w:after="120" w:before="240"/>
      </w:pPr>
      <w:r>
        <w:rPr>
          <w:rFonts w:ascii="Calibri" w:cs="Calibri" w:eastAsia="Calibri" w:hAnsi="Calibri"/>
          <w:b/>
          <w:bCs/>
          <w:color w:val="1F3A5F"/>
          <w:sz w:val="24"/>
          <w:szCs w:val="24"/>
        </w:rPr>
        <w:t xml:space="preserve">3.3. ICE’ın simetrik NAT sınırı</w:t>
      </w:r>
    </w:p>
    <w:p>
      <w:pPr>
        <w:spacing w:after="120" w:line="276"/>
        <w:jc w:val="both"/>
      </w:pPr>
      <w:r>
        <w:rPr>
          <w:b w:val="false"/>
          <w:bCs w:val="false"/>
          <w:i w:val="false"/>
          <w:iCs w:val="false"/>
          <w:sz w:val="22"/>
          <w:szCs w:val="22"/>
        </w:rPr>
        <w:t xml:space="preserve">ICE (RFC 8445), aday toplama aşamasında STUN ile elde ettiği sunucudan yansıyan adayı karşı uca bildirir ve bağlanabilirlik denetimlerini bu aday üzerinden yürütür. Bu yaklaşım, dış eşlemenin hedeften bağımsız olduğu varsayımına dayanır. Simetrik NAT’ta bu varsayım yapısal olarak geçersizdir: STUN sunucusuna giderken oluşan eşleme ile karşı uca giderken oluşacak eşleme farklıdır. Dolayısıyla ICE, simetrik uç içeren senaryoların önemli bir bölümünde doğrudan yol kuramaz ve TURN aktarımına düşer.</w:t>
      </w:r>
    </w:p>
    <w:p>
      <w:pPr>
        <w:spacing w:after="120" w:line="276"/>
        <w:jc w:val="both"/>
      </w:pPr>
      <w:r>
        <w:rPr>
          <w:b w:val="false"/>
          <w:bCs w:val="false"/>
          <w:i w:val="false"/>
          <w:iCs w:val="false"/>
          <w:sz w:val="22"/>
          <w:szCs w:val="22"/>
        </w:rPr>
        <w:t xml:space="preserve">TURN’a düşmenin projemiz açısından üç sakıncası vardır: (i) her oturumun tüm medya trafiği bir sunucu üzerinden akar; bu, hasım ağ koşullarında hedef alınabilecek merkezî bir nokta ve doğrudan işletme maliyeti yaratır; (ii) gecikme ve seğirme artar, gerçek zamanlı ses ve görüntü kalitesi düşer; (iii) trafik hacmi kullanıcı sayısıyla doğrusal ölçeklendiğinden birim maliyet, hedeflenen lisans modeliyle çelişir. NATGhost’un gerekçesi bu üç maddedir.</w:t>
      </w:r>
    </w:p>
    <w:p>
      <w:pPr>
        <w:pStyle w:val="Heading2"/>
        <w:spacing w:after="120" w:before="240"/>
      </w:pPr>
      <w:r>
        <w:rPr>
          <w:rFonts w:ascii="Calibri" w:cs="Calibri" w:eastAsia="Calibri" w:hAnsi="Calibri"/>
          <w:b/>
          <w:bCs/>
          <w:color w:val="1F3A5F"/>
          <w:sz w:val="24"/>
          <w:szCs w:val="24"/>
        </w:rPr>
        <w:t xml:space="preserve">3.4. Tasarım hedefi</w:t>
      </w:r>
    </w:p>
    <w:p>
      <w:pPr>
        <w:spacing w:after="120" w:line="276"/>
        <w:jc w:val="both"/>
      </w:pPr>
      <w:r>
        <w:rPr>
          <w:b w:val="false"/>
          <w:bCs w:val="false"/>
          <w:i w:val="false"/>
          <w:iCs w:val="false"/>
          <w:sz w:val="22"/>
          <w:szCs w:val="22"/>
        </w:rPr>
        <w:t xml:space="preserve">Başlangıçta konulan hedef iddialıydı: “simetrik NAT ardındaki uçlar arasında, aktarım sunucusu kullanmadan, deterministik biçimde doğrudan bağlantı kurmak.” Raporun sonunda görüleceği üzere bu hedef kısmen karşılanmıştır; deterministiklik iddiası, hem analitik model hem de prototip gözlemleri karşısında bilinçli olarak olasılıksal başarı hedefiyle değiştirilmiştir.</w:t>
      </w:r>
    </w:p>
    <w:p>
      <w:pPr>
        <w:pStyle w:val="Heading1"/>
        <w:spacing w:after="160" w:before="320"/>
      </w:pPr>
      <w:r>
        <w:rPr>
          <w:rFonts w:ascii="Calibri" w:cs="Calibri" w:eastAsia="Calibri" w:hAnsi="Calibri"/>
          <w:b/>
          <w:bCs/>
          <w:color w:val="1F3A5F"/>
          <w:sz w:val="28"/>
          <w:szCs w:val="28"/>
        </w:rPr>
        <w:t xml:space="preserve">4. NATGhost Algoritmasının Tasarımı</w:t>
      </w:r>
    </w:p>
    <w:p>
      <w:pPr>
        <w:pStyle w:val="Heading2"/>
        <w:spacing w:after="120" w:before="240"/>
      </w:pPr>
      <w:r>
        <w:rPr>
          <w:rFonts w:ascii="Calibri" w:cs="Calibri" w:eastAsia="Calibri" w:hAnsi="Calibri"/>
          <w:b/>
          <w:bCs/>
          <w:color w:val="1F3A5F"/>
          <w:sz w:val="24"/>
          <w:szCs w:val="24"/>
        </w:rPr>
        <w:t xml:space="preserve">4.1. Genel akış</w:t>
      </w:r>
    </w:p>
    <w:p>
      <w:pPr>
        <w:spacing w:after="80" w:line="276"/>
        <w:jc w:val="both"/>
      </w:pPr>
      <w:r>
        <w:rPr>
          <w:b w:val="false"/>
          <w:bCs w:val="false"/>
          <w:i w:val="false"/>
          <w:iCs w:val="false"/>
          <w:sz w:val="22"/>
          <w:szCs w:val="22"/>
        </w:rPr>
        <w:t xml:space="preserve">Algoritma beş fazdan oluşur:</w:t>
      </w:r>
    </w:p>
    <w:p>
      <w:pPr>
        <w:pStyle w:val="ListParagraph"/>
        <w:numPr>
          <w:ilvl w:val="0"/>
          <w:numId w:val="3"/>
        </w:numPr>
        <w:spacing w:after="80" w:line="276"/>
        <w:jc w:val="both"/>
      </w:pPr>
      <w:r>
        <w:rPr>
          <w:sz w:val="22"/>
          <w:szCs w:val="22"/>
        </w:rPr>
        <w:t xml:space="preserve">Faz 1 – NAT farkındalığı: paralel STUN prob ile eşleme sınıfının belirlenmesi.</w:t>
      </w:r>
    </w:p>
    <w:p>
      <w:pPr>
        <w:pStyle w:val="ListParagraph"/>
        <w:numPr>
          <w:ilvl w:val="0"/>
          <w:numId w:val="3"/>
        </w:numPr>
        <w:spacing w:after="80" w:line="276"/>
        <w:jc w:val="both"/>
      </w:pPr>
      <w:r>
        <w:rPr>
          <w:sz w:val="22"/>
          <w:szCs w:val="22"/>
        </w:rPr>
        <w:t xml:space="preserve">Faz 2 – Profilleme: simetrik sınıf tespit edilirse dış port atama dağılımının istatistiksel olarak çıkarılması.</w:t>
      </w:r>
    </w:p>
    <w:p>
      <w:pPr>
        <w:pStyle w:val="ListParagraph"/>
        <w:numPr>
          <w:ilvl w:val="0"/>
          <w:numId w:val="3"/>
        </w:numPr>
        <w:spacing w:after="80" w:line="276"/>
        <w:jc w:val="both"/>
      </w:pPr>
      <w:r>
        <w:rPr>
          <w:sz w:val="22"/>
          <w:szCs w:val="22"/>
        </w:rPr>
        <w:t xml:space="preserve">Faz 3 – Profil değişimi: genel adres, eşleme sınıfı ve (varsa) port profilinin sinyalleşme sunucusu üzerinden karşı uca iletilmesi.</w:t>
      </w:r>
    </w:p>
    <w:p>
      <w:pPr>
        <w:pStyle w:val="ListParagraph"/>
        <w:numPr>
          <w:ilvl w:val="0"/>
          <w:numId w:val="3"/>
        </w:numPr>
        <w:spacing w:after="80" w:line="276"/>
        <w:jc w:val="both"/>
      </w:pPr>
      <w:r>
        <w:rPr>
          <w:sz w:val="22"/>
          <w:szCs w:val="22"/>
        </w:rPr>
        <w:t xml:space="preserve">Faz 4 – Strateji seçimi: iki uçtaki simetrik NAT sayısına göre delme stratejisinin belirlenmesi.</w:t>
      </w:r>
    </w:p>
    <w:p>
      <w:pPr>
        <w:pStyle w:val="ListParagraph"/>
        <w:numPr>
          <w:ilvl w:val="0"/>
          <w:numId w:val="3"/>
        </w:numPr>
        <w:spacing w:after="80" w:line="276"/>
        <w:jc w:val="both"/>
      </w:pPr>
      <w:r>
        <w:rPr>
          <w:sz w:val="22"/>
          <w:szCs w:val="22"/>
        </w:rPr>
        <w:t xml:space="preserve">Faz 5 – Delme: seçilen stratejiye göre eşzamanlı port denemelerinin tek olay döngüsü (epoll) üzerinde yürütülmesi.</w:t>
      </w:r>
    </w:p>
    <w:p>
      <w:pPr>
        <w:pStyle w:val="Heading2"/>
        <w:spacing w:after="120" w:before="240"/>
      </w:pPr>
      <w:r>
        <w:rPr>
          <w:rFonts w:ascii="Calibri" w:cs="Calibri" w:eastAsia="Calibri" w:hAnsi="Calibri"/>
          <w:b/>
          <w:bCs/>
          <w:color w:val="1F3A5F"/>
          <w:sz w:val="24"/>
          <w:szCs w:val="24"/>
        </w:rPr>
        <w:t xml:space="preserve">4.2. Faz 1 — Paralel STUN prob ile NAT farkındalığı</w:t>
      </w:r>
    </w:p>
    <w:p>
      <w:pPr>
        <w:spacing w:after="120" w:line="276"/>
        <w:jc w:val="both"/>
      </w:pPr>
      <w:r>
        <w:rPr>
          <w:b w:val="false"/>
          <w:bCs w:val="false"/>
          <w:i w:val="false"/>
          <w:iCs w:val="false"/>
          <w:sz w:val="22"/>
          <w:szCs w:val="22"/>
        </w:rPr>
        <w:t xml:space="preserve">İstemci başlatıldığı anda, yapılandırmadaki STUN sunucu listesinin ilk birkaç girdisine tek bir yerel UDP soketinden eşzamanlı bağlanma istekleri gönderilir. Soket bloklamasız kipte açılır ve yanıtlar epoll ile tek olay döngüsünde toplanır; her sunucu için ayrı iş parçacığı veya ayrı soket açılmaz. Bu, sınıflandırmanın geçerliliği açısından zorunlu bir tasarım kararıdır: karar, “aynı yerel kaynak porttan farklı hedeflere giden paketlerin aynı dış porta eşlenip eşlenmediği” sorusuna dayandığından, tüm probların aynı soketten çıkması gerekir.</w:t>
      </w:r>
    </w:p>
    <w:p>
      <w:pPr>
        <w:spacing w:after="120" w:line="276"/>
        <w:jc w:val="both"/>
      </w:pPr>
      <w:r>
        <w:rPr>
          <w:b w:val="false"/>
          <w:bCs w:val="false"/>
          <w:i w:val="false"/>
          <w:iCs w:val="false"/>
          <w:sz w:val="22"/>
          <w:szCs w:val="22"/>
        </w:rPr>
        <w:t xml:space="preserve">İlk N yanıt değerlendirilir. Teorik olarak N, listedeki sunucu sayısına kadar çıkarılabilir; ancak beklenen yanıt sayısı arttıkça sınıflandırma gecikmesi de artar. Gözlemler, tek yanıtla karşılaştırma yapılamadığını, iki yanıtın sınır durumlarında kararsız kaldığını, üç yanıttan sonra ise ek yanıtların doğruluğa katkısının ihmal edilebilir hâle geldiğini göstermiştir. Bu nedenle üretim yapılandırmasında N = 3 seçilmiştir.</w:t>
      </w:r>
    </w:p>
    <w:p>
      <w:pPr>
        <w:shd w:fill="F3F4F6" w:val="clear"/>
        <w:spacing w:after="0" w:line="240"/>
        <w:ind w:left="220" w:right="220"/>
      </w:pPr>
      <w:r>
        <w:rPr>
          <w:rFonts w:ascii="Consolas" w:cs="Consolas" w:eastAsia="Consolas" w:hAnsi="Consolas"/>
          <w:color w:val="202020"/>
          <w:sz w:val="17"/>
          <w:szCs w:val="17"/>
        </w:rPr>
        <w:t xml:space="preserve">// Faz 1 — sınıflandırma çekirdeği (sadeleştirilmiş)</w:t>
      </w:r>
    </w:p>
    <w:p>
      <w:pPr>
        <w:shd w:fill="F3F4F6" w:val="clear"/>
        <w:spacing w:after="0" w:line="240"/>
        <w:ind w:left="220" w:right="220"/>
      </w:pPr>
      <w:r>
        <w:rPr>
          <w:rFonts w:ascii="Consolas" w:cs="Consolas" w:eastAsia="Consolas" w:hAnsi="Consolas"/>
          <w:color w:val="202020"/>
          <w:sz w:val="17"/>
          <w:szCs w:val="17"/>
        </w:rPr>
        <w:t xml:space="preserve">sock = udp_socket(nonblocking);            // TEK soket, TEK kaynak port</w:t>
      </w:r>
    </w:p>
    <w:p>
      <w:pPr>
        <w:shd w:fill="F3F4F6" w:val="clear"/>
        <w:spacing w:after="0" w:line="240"/>
        <w:ind w:left="220" w:right="220"/>
      </w:pPr>
      <w:r>
        <w:rPr>
          <w:rFonts w:ascii="Consolas" w:cs="Consolas" w:eastAsia="Consolas" w:hAnsi="Consolas"/>
          <w:color w:val="202020"/>
          <w:sz w:val="17"/>
          <w:szCs w:val="17"/>
        </w:rPr>
        <w:t xml:space="preserve">for (s in stun_servers[0..K]) send(sock, binding_request, s);</w:t>
      </w:r>
    </w:p>
    <w:p>
      <w:pPr>
        <w:shd w:fill="F3F4F6" w:val="clear"/>
        <w:spacing w:after="0" w:line="240"/>
        <w:ind w:left="220" w:right="220"/>
      </w:pPr>
      <w:r>
        <w:rPr>
          <w:rFonts w:ascii="Consolas" w:cs="Consolas" w:eastAsia="Consolas" w:hAnsi="Consolas"/>
          <w:color w:val="202020"/>
          <w:sz w:val="17"/>
          <w:szCs w:val="17"/>
        </w:rPr>
        <w:t xml:space="preserve"> </w:t>
      </w:r>
    </w:p>
    <w:p>
      <w:pPr>
        <w:shd w:fill="F3F4F6" w:val="clear"/>
        <w:spacing w:after="0" w:line="240"/>
        <w:ind w:left="220" w:right="220"/>
      </w:pPr>
      <w:r>
        <w:rPr>
          <w:rFonts w:ascii="Consolas" w:cs="Consolas" w:eastAsia="Consolas" w:hAnsi="Consolas"/>
          <w:color w:val="202020"/>
          <w:sz w:val="17"/>
          <w:szCs w:val="17"/>
        </w:rPr>
        <w:t xml:space="preserve">while (responses.len() &lt; N &amp;&amp; !deadline_expired()) {</w:t>
      </w:r>
    </w:p>
    <w:p>
      <w:pPr>
        <w:shd w:fill="F3F4F6" w:val="clear"/>
        <w:spacing w:after="0" w:line="240"/>
        <w:ind w:left="220" w:right="220"/>
      </w:pPr>
      <w:r>
        <w:rPr>
          <w:rFonts w:ascii="Consolas" w:cs="Consolas" w:eastAsia="Consolas" w:hAnsi="Consolas"/>
          <w:color w:val="202020"/>
          <w:sz w:val="17"/>
          <w:szCs w:val="17"/>
        </w:rPr>
        <w:t xml:space="preserve">    epoll_wait(ev, timeout_remaining());</w:t>
      </w:r>
    </w:p>
    <w:p>
      <w:pPr>
        <w:shd w:fill="F3F4F6" w:val="clear"/>
        <w:spacing w:after="0" w:line="240"/>
        <w:ind w:left="220" w:right="220"/>
      </w:pPr>
      <w:r>
        <w:rPr>
          <w:rFonts w:ascii="Consolas" w:cs="Consolas" w:eastAsia="Consolas" w:hAnsi="Consolas"/>
          <w:color w:val="202020"/>
          <w:sz w:val="17"/>
          <w:szCs w:val="17"/>
        </w:rPr>
        <w:t xml:space="preserve">    responses.push(parse_xor_mapped_address(recv(sock)));</w:t>
      </w:r>
    </w:p>
    <w:p>
      <w:pPr>
        <w:shd w:fill="F3F4F6" w:val="clear"/>
        <w:spacing w:after="0" w:line="240"/>
        <w:ind w:left="220" w:right="220"/>
      </w:pPr>
      <w:r>
        <w:rPr>
          <w:rFonts w:ascii="Consolas" w:cs="Consolas" w:eastAsia="Consolas" w:hAnsi="Consolas"/>
          <w:color w:val="202020"/>
          <w:sz w:val="17"/>
          <w:szCs w:val="17"/>
        </w:rPr>
        <w:t xml:space="preserve">}</w:t>
      </w:r>
    </w:p>
    <w:p>
      <w:pPr>
        <w:shd w:fill="F3F4F6" w:val="clear"/>
        <w:spacing w:after="0" w:line="240"/>
        <w:ind w:left="220" w:right="220"/>
      </w:pPr>
      <w:r>
        <w:rPr>
          <w:rFonts w:ascii="Consolas" w:cs="Consolas" w:eastAsia="Consolas" w:hAnsi="Consolas"/>
          <w:color w:val="202020"/>
          <w:sz w:val="17"/>
          <w:szCs w:val="17"/>
        </w:rPr>
        <w:t xml:space="preserve"> </w:t>
      </w:r>
    </w:p>
    <w:p>
      <w:pPr>
        <w:shd w:fill="F3F4F6" w:val="clear"/>
        <w:spacing w:after="0" w:line="240"/>
        <w:ind w:left="220" w:right="220"/>
      </w:pPr>
      <w:r>
        <w:rPr>
          <w:rFonts w:ascii="Consolas" w:cs="Consolas" w:eastAsia="Consolas" w:hAnsi="Consolas"/>
          <w:color w:val="202020"/>
          <w:sz w:val="17"/>
          <w:szCs w:val="17"/>
        </w:rPr>
        <w:t xml:space="preserve">ips   = unique(responses.ip);</w:t>
      </w:r>
    </w:p>
    <w:p>
      <w:pPr>
        <w:shd w:fill="F3F4F6" w:val="clear"/>
        <w:spacing w:after="0" w:line="240"/>
        <w:ind w:left="220" w:right="220"/>
      </w:pPr>
      <w:r>
        <w:rPr>
          <w:rFonts w:ascii="Consolas" w:cs="Consolas" w:eastAsia="Consolas" w:hAnsi="Consolas"/>
          <w:color w:val="202020"/>
          <w:sz w:val="17"/>
          <w:szCs w:val="17"/>
        </w:rPr>
        <w:t xml:space="preserve">ports = unique(responses.port);</w:t>
      </w:r>
    </w:p>
    <w:p>
      <w:pPr>
        <w:shd w:fill="F3F4F6" w:val="clear"/>
        <w:spacing w:after="0" w:line="240"/>
        <w:ind w:left="220" w:right="220"/>
      </w:pPr>
      <w:r>
        <w:rPr>
          <w:rFonts w:ascii="Consolas" w:cs="Consolas" w:eastAsia="Consolas" w:hAnsi="Consolas"/>
          <w:color w:val="202020"/>
          <w:sz w:val="17"/>
          <w:szCs w:val="17"/>
        </w:rPr>
        <w:t xml:space="preserve"> </w:t>
      </w:r>
    </w:p>
    <w:p>
      <w:pPr>
        <w:shd w:fill="F3F4F6" w:val="clear"/>
        <w:spacing w:after="0" w:line="240"/>
        <w:ind w:left="220" w:right="220"/>
      </w:pPr>
      <w:r>
        <w:rPr>
          <w:rFonts w:ascii="Consolas" w:cs="Consolas" w:eastAsia="Consolas" w:hAnsi="Consolas"/>
          <w:color w:val="202020"/>
          <w:sz w:val="17"/>
          <w:szCs w:val="17"/>
        </w:rPr>
        <w:t xml:space="preserve">if (ips.len() &gt; 1)            class = MULTI_IP_POOL;   // CGNAT / havuz</w:t>
      </w:r>
    </w:p>
    <w:p>
      <w:pPr>
        <w:shd w:fill="F3F4F6" w:val="clear"/>
        <w:spacing w:after="0" w:line="240"/>
        <w:ind w:left="220" w:right="220"/>
      </w:pPr>
      <w:r>
        <w:rPr>
          <w:rFonts w:ascii="Consolas" w:cs="Consolas" w:eastAsia="Consolas" w:hAnsi="Consolas"/>
          <w:color w:val="202020"/>
          <w:sz w:val="17"/>
          <w:szCs w:val="17"/>
        </w:rPr>
        <w:t xml:space="preserve">else if (ports.len() == 1)    class = NON_SYMMETRIC;   // uçtan bağımsız eşleme</w:t>
      </w:r>
    </w:p>
    <w:p>
      <w:pPr>
        <w:shd w:fill="F3F4F6" w:val="clear"/>
        <w:spacing w:after="140" w:line="240"/>
        <w:ind w:left="220" w:right="220"/>
      </w:pPr>
      <w:r>
        <w:rPr>
          <w:rFonts w:ascii="Consolas" w:cs="Consolas" w:eastAsia="Consolas" w:hAnsi="Consolas"/>
          <w:color w:val="202020"/>
          <w:sz w:val="17"/>
          <w:szCs w:val="17"/>
        </w:rPr>
        <w:t xml:space="preserve">else                          class = SYMMETRIC;       // 5-tuple başına yeni port</w:t>
      </w:r>
    </w:p>
    <w:p>
      <w:pPr>
        <w:pStyle w:val="Heading2"/>
        <w:spacing w:after="120" w:before="240"/>
      </w:pPr>
      <w:r>
        <w:rPr>
          <w:rFonts w:ascii="Calibri" w:cs="Calibri" w:eastAsia="Calibri" w:hAnsi="Calibri"/>
          <w:b/>
          <w:bCs/>
          <w:color w:val="1F3A5F"/>
          <w:sz w:val="24"/>
          <w:szCs w:val="24"/>
        </w:rPr>
        <w:t xml:space="preserve">4.3. Faz 2 — Simetrik NAT’ta dış port dağılımının profillenmesi</w:t>
      </w:r>
    </w:p>
    <w:p>
      <w:pPr>
        <w:spacing w:after="120" w:line="276"/>
        <w:jc w:val="both"/>
      </w:pPr>
      <w:r>
        <w:rPr>
          <w:b w:val="false"/>
          <w:bCs w:val="false"/>
          <w:i w:val="false"/>
          <w:iCs w:val="false"/>
          <w:sz w:val="22"/>
          <w:szCs w:val="22"/>
        </w:rPr>
        <w:t xml:space="preserve">Sınıf SYMMETRIC olarak belirlenirse, ikinci fazda çok sayıda STUN sunucusuna kısa ömürlü bağlantılar açılır ve dönen yanıtlardaki dış portlar bir örneklem olarak toplanır. Temel gözlem şudur: port uzayı kuramsal olarak 0–65535 olsa da, gerçek dünyadaki NAT gerçeklemeleri (optimizasyon, ayrılmış aralıklar, ayrıcalıklı port kısıtları, üretici varsayılanları gibi nedenlerle) atamalarını çok daha dar bir pencerede yapar. Örneğin 45000–60000 arasındaki 15000 portluk bir pencereden seçim yapan cihazlar sahada yaygındır.</w:t>
      </w:r>
    </w:p>
    <w:p>
      <w:pPr>
        <w:spacing w:after="80" w:line="276"/>
        <w:jc w:val="both"/>
      </w:pPr>
      <w:r>
        <w:rPr>
          <w:b w:val="false"/>
          <w:bCs w:val="false"/>
          <w:i w:val="false"/>
          <w:iCs w:val="false"/>
          <w:sz w:val="22"/>
          <w:szCs w:val="22"/>
        </w:rPr>
        <w:t xml:space="preserve">Örneklem üzerinden çıkarılan profil üç bileşenden oluşur:</w:t>
      </w:r>
    </w:p>
    <w:p>
      <w:pPr>
        <w:pStyle w:val="ListParagraph"/>
        <w:numPr>
          <w:ilvl w:val="0"/>
          <w:numId w:val="2"/>
        </w:numPr>
        <w:spacing w:after="80" w:line="276"/>
        <w:jc w:val="both"/>
      </w:pPr>
      <w:r>
        <w:rPr>
          <w:sz w:val="22"/>
          <w:szCs w:val="22"/>
        </w:rPr>
        <w:t xml:space="preserve">Alt ve üst sınır: gözlemlenen minimum ve maksimum atama; aradaki genişlik modelde W ile gösterilir.</w:t>
      </w:r>
    </w:p>
    <w:p>
      <w:pPr>
        <w:pStyle w:val="ListParagraph"/>
        <w:numPr>
          <w:ilvl w:val="0"/>
          <w:numId w:val="2"/>
        </w:numPr>
        <w:spacing w:after="80" w:line="276"/>
        <w:jc w:val="both"/>
      </w:pPr>
      <w:r>
        <w:rPr>
          <w:sz w:val="22"/>
          <w:szCs w:val="22"/>
        </w:rPr>
        <w:t xml:space="preserve">Yığılma bölgesi: histogramda anlamlı yoğunluk gösteren alt aralık(lar); hedef portların önceliklendirilmesinde kullanılır.</w:t>
      </w:r>
    </w:p>
    <w:p>
      <w:pPr>
        <w:pStyle w:val="ListParagraph"/>
        <w:numPr>
          <w:ilvl w:val="0"/>
          <w:numId w:val="2"/>
        </w:numPr>
        <w:spacing w:after="80" w:line="276"/>
        <w:jc w:val="both"/>
      </w:pPr>
      <w:r>
        <w:rPr>
          <w:sz w:val="22"/>
          <w:szCs w:val="22"/>
        </w:rPr>
        <w:t xml:space="preserve">Ardışıklık göstergesi: atamaların rastgele mi yoksa artan/azalan bir sayaçla mı üretildiğinin sınanması. Ardışık atama yapan cihazlarda tahmin, rastgele atamaya kıyasla niteliksel olarak farklı ve çok daha kolay bir probleme dönüşür (bkz. Bölüm 6.5).</w:t>
      </w:r>
    </w:p>
    <w:p>
      <w:pPr>
        <w:pStyle w:val="Heading2"/>
        <w:spacing w:after="120" w:before="240"/>
      </w:pPr>
      <w:r>
        <w:rPr>
          <w:rFonts w:ascii="Calibri" w:cs="Calibri" w:eastAsia="Calibri" w:hAnsi="Calibri"/>
          <w:b/>
          <w:bCs/>
          <w:color w:val="1F3A5F"/>
          <w:sz w:val="24"/>
          <w:szCs w:val="24"/>
        </w:rPr>
        <w:t xml:space="preserve">4.4. Faz 3 — Profilin sinyalleşme üzerinden değişimi</w:t>
      </w:r>
    </w:p>
    <w:p>
      <w:pPr>
        <w:spacing w:after="120" w:line="276"/>
        <w:jc w:val="both"/>
      </w:pPr>
      <w:r>
        <w:rPr>
          <w:b w:val="false"/>
          <w:bCs w:val="false"/>
          <w:i w:val="false"/>
          <w:iCs w:val="false"/>
          <w:sz w:val="22"/>
          <w:szCs w:val="22"/>
        </w:rPr>
        <w:t xml:space="preserve">İstemci; genel IP adresini, genel portunu ve eşleme sınıfını sinyalleşme sunucusuna bildirir. Sınıf simetrik ise bildirime port penceresi, yığılma bölgesi ve ardışıklık göstergesi de eklenir. Sinyalleşme sunucusu bu bilgiyi karşı uca iletir ve iki uçtan kaç tanesinin simetrik NAT ardında olduğunu belirleyerek strateji seçimini tetikler. Sunucu bu aşamada yalnızca kontrol düzlemindedir; veri düzleminden tümüyle uzaktır.</w:t>
      </w:r>
    </w:p>
    <w:p>
      <w:pPr>
        <w:pStyle w:val="Heading2"/>
        <w:spacing w:after="120" w:before="240"/>
      </w:pPr>
      <w:r>
        <w:rPr>
          <w:rFonts w:ascii="Calibri" w:cs="Calibri" w:eastAsia="Calibri" w:hAnsi="Calibri"/>
          <w:b/>
          <w:bCs/>
          <w:color w:val="1F3A5F"/>
          <w:sz w:val="24"/>
          <w:szCs w:val="24"/>
        </w:rPr>
        <w:t xml:space="preserve">4.5. Faz 4 — Strateji seçim matrisi</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2200"/>
        <w:gridCol w:w="1500"/>
        <w:gridCol w:w="2600"/>
        <w:gridCol w:w="3338"/>
      </w:tblGrid>
      <w:tr>
        <w:trPr>
          <w:tblHeader/>
        </w:trPr>
        <w:tc>
          <w:tcPr>
            <w:tcW w:type="dxa" w:w="2200"/>
            <w:shd w:fill="DCE3EC" w:val="clear"/>
            <w:tcMar>
              <w:top w:type="dxa" w:w="70"/>
              <w:left w:type="dxa" w:w="100"/>
              <w:bottom w:type="dxa" w:w="70"/>
              <w:right w:type="dxa" w:w="100"/>
            </w:tcMar>
          </w:tcPr>
          <w:p>
            <w:pPr>
              <w:spacing w:after="0" w:line="240"/>
              <w:jc w:val="center"/>
            </w:pPr>
            <w:r>
              <w:rPr>
                <w:b/>
                <w:bCs/>
                <w:sz w:val="19"/>
                <w:szCs w:val="19"/>
              </w:rPr>
              <w:t xml:space="preserve">Uçların durumu</w:t>
            </w:r>
          </w:p>
        </w:tc>
        <w:tc>
          <w:tcPr>
            <w:tcW w:type="dxa" w:w="1500"/>
            <w:shd w:fill="DCE3EC" w:val="clear"/>
            <w:tcMar>
              <w:top w:type="dxa" w:w="70"/>
              <w:left w:type="dxa" w:w="100"/>
              <w:bottom w:type="dxa" w:w="70"/>
              <w:right w:type="dxa" w:w="100"/>
            </w:tcMar>
          </w:tcPr>
          <w:p>
            <w:pPr>
              <w:spacing w:after="0" w:line="240"/>
              <w:jc w:val="center"/>
            </w:pPr>
            <w:r>
              <w:rPr>
                <w:b/>
                <w:bCs/>
                <w:sz w:val="19"/>
                <w:szCs w:val="19"/>
              </w:rPr>
              <w:t xml:space="preserve">Senaryo</w:t>
            </w:r>
          </w:p>
        </w:tc>
        <w:tc>
          <w:tcPr>
            <w:tcW w:type="dxa" w:w="2600"/>
            <w:shd w:fill="DCE3EC" w:val="clear"/>
            <w:tcMar>
              <w:top w:type="dxa" w:w="70"/>
              <w:left w:type="dxa" w:w="100"/>
              <w:bottom w:type="dxa" w:w="70"/>
              <w:right w:type="dxa" w:w="100"/>
            </w:tcMar>
          </w:tcPr>
          <w:p>
            <w:pPr>
              <w:spacing w:after="0" w:line="240"/>
              <w:jc w:val="center"/>
            </w:pPr>
            <w:r>
              <w:rPr>
                <w:b/>
                <w:bCs/>
                <w:sz w:val="19"/>
                <w:szCs w:val="19"/>
              </w:rPr>
              <w:t xml:space="preserve">Seçilen strateji</w:t>
            </w:r>
          </w:p>
        </w:tc>
        <w:tc>
          <w:tcPr>
            <w:tcW w:type="dxa" w:w="3338"/>
            <w:shd w:fill="DCE3EC" w:val="clear"/>
            <w:tcMar>
              <w:top w:type="dxa" w:w="70"/>
              <w:left w:type="dxa" w:w="100"/>
              <w:bottom w:type="dxa" w:w="70"/>
              <w:right w:type="dxa" w:w="100"/>
            </w:tcMar>
          </w:tcPr>
          <w:p>
            <w:pPr>
              <w:spacing w:after="0" w:line="240"/>
              <w:jc w:val="center"/>
            </w:pPr>
            <w:r>
              <w:rPr>
                <w:b/>
                <w:bCs/>
                <w:sz w:val="19"/>
                <w:szCs w:val="19"/>
              </w:rPr>
              <w:t xml:space="preserve">Gerekçe</w:t>
            </w:r>
          </w:p>
        </w:tc>
      </w:tr>
      <w:tr>
        <w:tc>
          <w:tcPr>
            <w:tcW w:type="dxa" w:w="2200"/>
            <w:tcMar>
              <w:top w:type="dxa" w:w="70"/>
              <w:left w:type="dxa" w:w="100"/>
              <w:bottom w:type="dxa" w:w="70"/>
              <w:right w:type="dxa" w:w="100"/>
            </w:tcMar>
          </w:tcPr>
          <w:p>
            <w:pPr>
              <w:spacing w:after="0" w:line="240"/>
              <w:jc w:val="left"/>
            </w:pPr>
            <w:r>
              <w:rPr>
                <w:b/>
                <w:bCs/>
                <w:sz w:val="19"/>
                <w:szCs w:val="19"/>
              </w:rPr>
              <w:t xml:space="preserve">Simetrik uç yok</w:t>
            </w:r>
          </w:p>
        </w:tc>
        <w:tc>
          <w:tcPr>
            <w:tcW w:type="dxa" w:w="1500"/>
            <w:tcMar>
              <w:top w:type="dxa" w:w="70"/>
              <w:left w:type="dxa" w:w="100"/>
              <w:bottom w:type="dxa" w:w="70"/>
              <w:right w:type="dxa" w:w="100"/>
            </w:tcMar>
          </w:tcPr>
          <w:p>
            <w:pPr>
              <w:spacing w:after="0" w:line="240"/>
              <w:jc w:val="left"/>
            </w:pPr>
            <w:r>
              <w:rPr>
                <w:b w:val="false"/>
                <w:bCs w:val="false"/>
                <w:sz w:val="19"/>
                <w:szCs w:val="19"/>
              </w:rPr>
              <w:t xml:space="preserve">A</w:t>
            </w:r>
          </w:p>
        </w:tc>
        <w:tc>
          <w:tcPr>
            <w:tcW w:type="dxa" w:w="2600"/>
            <w:tcMar>
              <w:top w:type="dxa" w:w="70"/>
              <w:left w:type="dxa" w:w="100"/>
              <w:bottom w:type="dxa" w:w="70"/>
              <w:right w:type="dxa" w:w="100"/>
            </w:tcMar>
          </w:tcPr>
          <w:p>
            <w:pPr>
              <w:spacing w:after="0" w:line="240"/>
              <w:jc w:val="left"/>
            </w:pPr>
            <w:r>
              <w:rPr>
                <w:b w:val="false"/>
                <w:bCs w:val="false"/>
                <w:sz w:val="19"/>
                <w:szCs w:val="19"/>
              </w:rPr>
              <w:t xml:space="preserve">Standart ICE / doğrudan delme</w:t>
            </w:r>
          </w:p>
        </w:tc>
        <w:tc>
          <w:tcPr>
            <w:tcW w:type="dxa" w:w="3338"/>
            <w:tcMar>
              <w:top w:type="dxa" w:w="70"/>
              <w:left w:type="dxa" w:w="100"/>
              <w:bottom w:type="dxa" w:w="70"/>
              <w:right w:type="dxa" w:w="100"/>
            </w:tcMar>
          </w:tcPr>
          <w:p>
            <w:pPr>
              <w:spacing w:after="0" w:line="240"/>
              <w:jc w:val="left"/>
            </w:pPr>
            <w:r>
              <w:rPr>
                <w:b w:val="false"/>
                <w:bCs w:val="false"/>
                <w:sz w:val="19"/>
                <w:szCs w:val="19"/>
              </w:rPr>
              <w:t xml:space="preserve">srflx adaylar geçerli; ek maliyete gerek yok</w:t>
            </w:r>
          </w:p>
        </w:tc>
      </w:tr>
      <w:tr>
        <w:tc>
          <w:tcPr>
            <w:tcW w:type="dxa" w:w="2200"/>
            <w:tcMar>
              <w:top w:type="dxa" w:w="70"/>
              <w:left w:type="dxa" w:w="100"/>
              <w:bottom w:type="dxa" w:w="70"/>
              <w:right w:type="dxa" w:w="100"/>
            </w:tcMar>
          </w:tcPr>
          <w:p>
            <w:pPr>
              <w:spacing w:after="0" w:line="240"/>
              <w:jc w:val="left"/>
            </w:pPr>
            <w:r>
              <w:rPr>
                <w:b/>
                <w:bCs/>
                <w:sz w:val="19"/>
                <w:szCs w:val="19"/>
              </w:rPr>
              <w:t xml:space="preserve">Bir uç simetrik</w:t>
            </w:r>
          </w:p>
        </w:tc>
        <w:tc>
          <w:tcPr>
            <w:tcW w:type="dxa" w:w="1500"/>
            <w:tcMar>
              <w:top w:type="dxa" w:w="70"/>
              <w:left w:type="dxa" w:w="100"/>
              <w:bottom w:type="dxa" w:w="70"/>
              <w:right w:type="dxa" w:w="100"/>
            </w:tcMar>
          </w:tcPr>
          <w:p>
            <w:pPr>
              <w:spacing w:after="0" w:line="240"/>
              <w:jc w:val="left"/>
            </w:pPr>
            <w:r>
              <w:rPr>
                <w:b w:val="false"/>
                <w:bCs w:val="false"/>
                <w:sz w:val="19"/>
                <w:szCs w:val="19"/>
              </w:rPr>
              <w:t xml:space="preserve">B</w:t>
            </w:r>
          </w:p>
        </w:tc>
        <w:tc>
          <w:tcPr>
            <w:tcW w:type="dxa" w:w="2600"/>
            <w:tcMar>
              <w:top w:type="dxa" w:w="70"/>
              <w:left w:type="dxa" w:w="100"/>
              <w:bottom w:type="dxa" w:w="70"/>
              <w:right w:type="dxa" w:w="100"/>
            </w:tcMar>
          </w:tcPr>
          <w:p>
            <w:pPr>
              <w:spacing w:after="0" w:line="240"/>
              <w:jc w:val="left"/>
            </w:pPr>
            <w:r>
              <w:rPr>
                <w:b w:val="false"/>
                <w:bCs w:val="false"/>
                <w:sz w:val="19"/>
                <w:szCs w:val="19"/>
              </w:rPr>
              <w:t xml:space="preserve">Tek yönlü port spraying</w:t>
            </w:r>
          </w:p>
        </w:tc>
        <w:tc>
          <w:tcPr>
            <w:tcW w:type="dxa" w:w="3338"/>
            <w:tcMar>
              <w:top w:type="dxa" w:w="70"/>
              <w:left w:type="dxa" w:w="100"/>
              <w:bottom w:type="dxa" w:w="70"/>
              <w:right w:type="dxa" w:w="100"/>
            </w:tcMar>
          </w:tcPr>
          <w:p>
            <w:pPr>
              <w:spacing w:after="0" w:line="240"/>
              <w:jc w:val="left"/>
            </w:pPr>
            <w:r>
              <w:rPr>
                <w:b w:val="false"/>
                <w:bCs w:val="false"/>
                <w:sz w:val="19"/>
                <w:szCs w:val="19"/>
              </w:rPr>
              <w:t xml:space="preserve">Simetrik olmayan tarafın portu sabittir; belirsizlik tek taraflıdır</w:t>
            </w:r>
          </w:p>
        </w:tc>
      </w:tr>
      <w:tr>
        <w:tc>
          <w:tcPr>
            <w:tcW w:type="dxa" w:w="2200"/>
            <w:tcMar>
              <w:top w:type="dxa" w:w="70"/>
              <w:left w:type="dxa" w:w="100"/>
              <w:bottom w:type="dxa" w:w="70"/>
              <w:right w:type="dxa" w:w="100"/>
            </w:tcMar>
          </w:tcPr>
          <w:p>
            <w:pPr>
              <w:spacing w:after="0" w:line="240"/>
              <w:jc w:val="left"/>
            </w:pPr>
            <w:r>
              <w:rPr>
                <w:b/>
                <w:bCs/>
                <w:sz w:val="19"/>
                <w:szCs w:val="19"/>
              </w:rPr>
              <w:t xml:space="preserve">İki uç da simetrik</w:t>
            </w:r>
          </w:p>
        </w:tc>
        <w:tc>
          <w:tcPr>
            <w:tcW w:type="dxa" w:w="1500"/>
            <w:tcMar>
              <w:top w:type="dxa" w:w="70"/>
              <w:left w:type="dxa" w:w="100"/>
              <w:bottom w:type="dxa" w:w="70"/>
              <w:right w:type="dxa" w:w="100"/>
            </w:tcMar>
          </w:tcPr>
          <w:p>
            <w:pPr>
              <w:spacing w:after="0" w:line="240"/>
              <w:jc w:val="left"/>
            </w:pPr>
            <w:r>
              <w:rPr>
                <w:b w:val="false"/>
                <w:bCs w:val="false"/>
                <w:sz w:val="19"/>
                <w:szCs w:val="19"/>
              </w:rPr>
              <w:t xml:space="preserve">C</w:t>
            </w:r>
          </w:p>
        </w:tc>
        <w:tc>
          <w:tcPr>
            <w:tcW w:type="dxa" w:w="2600"/>
            <w:tcMar>
              <w:top w:type="dxa" w:w="70"/>
              <w:left w:type="dxa" w:w="100"/>
              <w:bottom w:type="dxa" w:w="70"/>
              <w:right w:type="dxa" w:w="100"/>
            </w:tcMar>
          </w:tcPr>
          <w:p>
            <w:pPr>
              <w:spacing w:after="0" w:line="240"/>
              <w:jc w:val="left"/>
            </w:pPr>
            <w:r>
              <w:rPr>
                <w:b w:val="false"/>
                <w:bCs w:val="false"/>
                <w:sz w:val="19"/>
                <w:szCs w:val="19"/>
              </w:rPr>
              <w:t xml:space="preserve">Karşılıklı port spraying</w:t>
            </w:r>
          </w:p>
        </w:tc>
        <w:tc>
          <w:tcPr>
            <w:tcW w:type="dxa" w:w="3338"/>
            <w:tcMar>
              <w:top w:type="dxa" w:w="70"/>
              <w:left w:type="dxa" w:w="100"/>
              <w:bottom w:type="dxa" w:w="70"/>
              <w:right w:type="dxa" w:w="100"/>
            </w:tcMar>
          </w:tcPr>
          <w:p>
            <w:pPr>
              <w:spacing w:after="0" w:line="240"/>
              <w:jc w:val="left"/>
            </w:pPr>
            <w:r>
              <w:rPr>
                <w:b w:val="false"/>
                <w:bCs w:val="false"/>
                <w:sz w:val="19"/>
                <w:szCs w:val="19"/>
              </w:rPr>
              <w:t xml:space="preserve">Belirsizlik iki taraflıdır; gereken koşul süzme davranışına göre ağırlaşır</w:t>
            </w:r>
          </w:p>
        </w:tc>
      </w:tr>
    </w:tbl>
    <w:p>
      <w:pPr>
        <w:spacing w:after="220" w:before="60"/>
        <w:jc w:val="center"/>
      </w:pPr>
      <w:r>
        <w:rPr>
          <w:i/>
          <w:iCs/>
          <w:color w:val="555555"/>
          <w:sz w:val="18"/>
          <w:szCs w:val="18"/>
        </w:rPr>
        <w:t xml:space="preserve">Tablo 4 — Eşleme sınıflarına göre delme stratejisi seçimi.</w:t>
      </w:r>
    </w:p>
    <w:p>
      <w:pPr>
        <w:pStyle w:val="Heading2"/>
        <w:spacing w:after="120" w:before="240"/>
      </w:pPr>
      <w:r>
        <w:rPr>
          <w:rFonts w:ascii="Calibri" w:cs="Calibri" w:eastAsia="Calibri" w:hAnsi="Calibri"/>
          <w:b/>
          <w:bCs/>
          <w:color w:val="1F3A5F"/>
          <w:sz w:val="24"/>
          <w:szCs w:val="24"/>
        </w:rPr>
        <w:t xml:space="preserve">4.6. Faz 5a — Tek yönlü port spraying (Senaryo B)</w:t>
      </w:r>
    </w:p>
    <w:p>
      <w:pPr>
        <w:spacing w:after="120" w:line="276"/>
        <w:jc w:val="both"/>
      </w:pPr>
      <w:r>
        <w:rPr>
          <w:b w:val="false"/>
          <w:bCs w:val="false"/>
          <w:i w:val="false"/>
          <w:iCs w:val="false"/>
          <w:sz w:val="22"/>
          <w:szCs w:val="22"/>
        </w:rPr>
        <w:t xml:space="preserve">Simetrik NAT’ta dış port beşlinin bir fonksiyonu olduğundan, simetrik taraf dış portunu ancak yeni bir yerel port açarak değiştirebilir. Yöntem bu iki gerçeği birleştirir:</w:t>
      </w:r>
    </w:p>
    <w:p>
      <w:pPr>
        <w:pStyle w:val="ListParagraph"/>
        <w:numPr>
          <w:ilvl w:val="0"/>
          <w:numId w:val="2"/>
        </w:numPr>
        <w:spacing w:after="80" w:line="276"/>
        <w:jc w:val="both"/>
      </w:pPr>
      <w:r>
        <w:rPr>
          <w:sz w:val="22"/>
          <w:szCs w:val="22"/>
        </w:rPr>
        <w:t xml:space="preserve">Simetrik taraf, karşı ucun bilinen ve sabit genel adres–port çiftine doğru olabildiğince çok sayıda yerel soket açar. Her yeni yerel soket, NAT’ta yeni ve rastgele bir dış port doğurur.</w:t>
      </w:r>
    </w:p>
    <w:p>
      <w:pPr>
        <w:pStyle w:val="ListParagraph"/>
        <w:numPr>
          <w:ilvl w:val="0"/>
          <w:numId w:val="2"/>
        </w:numPr>
        <w:spacing w:after="80" w:line="276"/>
        <w:jc w:val="both"/>
      </w:pPr>
      <w:r>
        <w:rPr>
          <w:sz w:val="22"/>
          <w:szCs w:val="22"/>
        </w:rPr>
        <w:t xml:space="preserve">Simetrik olmayan taraf ise kendi portunu hiç değiştirmez; karşı uçtan gelen profil bilgisindeki sınırlar ve yığılma aralıkları içine yoğun paket gönderir.</w:t>
      </w:r>
    </w:p>
    <w:p>
      <w:pPr>
        <w:pStyle w:val="ListParagraph"/>
        <w:numPr>
          <w:ilvl w:val="0"/>
          <w:numId w:val="2"/>
        </w:numPr>
        <w:spacing w:after="80" w:line="276"/>
        <w:jc w:val="both"/>
      </w:pPr>
      <w:r>
        <w:rPr>
          <w:sz w:val="22"/>
          <w:szCs w:val="22"/>
        </w:rPr>
        <w:t xml:space="preserve">Tüm bu bağlantılar tek bir epoll olay döngüsünde izlenir; ilk çift yönlü doğrulanan yol seçilir ve kalan denemeler derhal iptal edilir.</w:t>
      </w:r>
    </w:p>
    <w:p>
      <w:pPr>
        <w:spacing w:after="120" w:line="276"/>
        <w:jc w:val="both"/>
      </w:pPr>
      <w:r>
        <w:rPr>
          <w:b w:val="false"/>
          <w:bCs w:val="false"/>
          <w:i w:val="false"/>
          <w:iCs w:val="false"/>
          <w:sz w:val="22"/>
          <w:szCs w:val="22"/>
        </w:rPr>
        <w:t xml:space="preserve">Kesişim gerçekleştiğinde, yani simetrik tarafın rastgele aldığı dış portlardan biri karşı tarafın denediği hedef portlardan biriyle çakıştığında, durum bilgisi tutan güvenlik duvarında eşleme açılır ve doğrudan yol kurulur. Yöntem ICE’a kıyasla belirgin biçimde daha zahmetlidir; ancak simetrik NAT senaryosunda aktarım sunucusu kullanmadan doğrudan yol kurmanın bilinen başka bir yolu yoktur.</w:t>
      </w:r>
    </w:p>
    <w:p>
      <w:pPr>
        <w:shd w:fill="F3F4F6" w:val="clear"/>
        <w:spacing w:after="0" w:line="240"/>
        <w:ind w:left="220" w:right="220"/>
      </w:pPr>
      <w:r>
        <w:rPr>
          <w:rFonts w:ascii="Consolas" w:cs="Consolas" w:eastAsia="Consolas" w:hAnsi="Consolas"/>
          <w:color w:val="202020"/>
          <w:sz w:val="17"/>
          <w:szCs w:val="17"/>
        </w:rPr>
        <w:t xml:space="preserve">// Faz 5a — tek yönlü spraying (simetrik taraf)</w:t>
      </w:r>
    </w:p>
    <w:p>
      <w:pPr>
        <w:shd w:fill="F3F4F6" w:val="clear"/>
        <w:spacing w:after="0" w:line="240"/>
        <w:ind w:left="220" w:right="220"/>
      </w:pPr>
      <w:r>
        <w:rPr>
          <w:rFonts w:ascii="Consolas" w:cs="Consolas" w:eastAsia="Consolas" w:hAnsi="Consolas"/>
          <w:color w:val="202020"/>
          <w:sz w:val="17"/>
          <w:szCs w:val="17"/>
        </w:rPr>
        <w:t xml:space="preserve">targets = { peer.public_ip : peer.public_port };   // sabit, tek hedef</w:t>
      </w:r>
    </w:p>
    <w:p>
      <w:pPr>
        <w:shd w:fill="F3F4F6" w:val="clear"/>
        <w:spacing w:after="0" w:line="240"/>
        <w:ind w:left="220" w:right="220"/>
      </w:pPr>
      <w:r>
        <w:rPr>
          <w:rFonts w:ascii="Consolas" w:cs="Consolas" w:eastAsia="Consolas" w:hAnsi="Consolas"/>
          <w:color w:val="202020"/>
          <w:sz w:val="17"/>
          <w:szCs w:val="17"/>
        </w:rPr>
        <w:t xml:space="preserve">for (i in 0..n) {</w:t>
      </w:r>
    </w:p>
    <w:p>
      <w:pPr>
        <w:shd w:fill="F3F4F6" w:val="clear"/>
        <w:spacing w:after="0" w:line="240"/>
        <w:ind w:left="220" w:right="220"/>
      </w:pPr>
      <w:r>
        <w:rPr>
          <w:rFonts w:ascii="Consolas" w:cs="Consolas" w:eastAsia="Consolas" w:hAnsi="Consolas"/>
          <w:color w:val="202020"/>
          <w:sz w:val="17"/>
          <w:szCs w:val="17"/>
        </w:rPr>
        <w:t xml:space="preserve">    s = udp_socket(nonblocking);                   // her soket = yeni dış eşleme</w:t>
      </w:r>
    </w:p>
    <w:p>
      <w:pPr>
        <w:shd w:fill="F3F4F6" w:val="clear"/>
        <w:spacing w:after="0" w:line="240"/>
        <w:ind w:left="220" w:right="220"/>
      </w:pPr>
      <w:r>
        <w:rPr>
          <w:rFonts w:ascii="Consolas" w:cs="Consolas" w:eastAsia="Consolas" w:hAnsi="Consolas"/>
          <w:color w:val="202020"/>
          <w:sz w:val="17"/>
          <w:szCs w:val="17"/>
        </w:rPr>
        <w:t xml:space="preserve">    epoll_add(ev, s);</w:t>
      </w:r>
    </w:p>
    <w:p>
      <w:pPr>
        <w:shd w:fill="F3F4F6" w:val="clear"/>
        <w:spacing w:after="0" w:line="240"/>
        <w:ind w:left="220" w:right="220"/>
      </w:pPr>
      <w:r>
        <w:rPr>
          <w:rFonts w:ascii="Consolas" w:cs="Consolas" w:eastAsia="Consolas" w:hAnsi="Consolas"/>
          <w:color w:val="202020"/>
          <w:sz w:val="17"/>
          <w:szCs w:val="17"/>
        </w:rPr>
        <w:t xml:space="preserve">    send(s, punch_probe, targets);</w:t>
      </w:r>
    </w:p>
    <w:p>
      <w:pPr>
        <w:shd w:fill="F3F4F6" w:val="clear"/>
        <w:spacing w:after="0" w:line="240"/>
        <w:ind w:left="220" w:right="220"/>
      </w:pPr>
      <w:r>
        <w:rPr>
          <w:rFonts w:ascii="Consolas" w:cs="Consolas" w:eastAsia="Consolas" w:hAnsi="Consolas"/>
          <w:color w:val="202020"/>
          <w:sz w:val="17"/>
          <w:szCs w:val="17"/>
        </w:rPr>
        <w:t xml:space="preserve">}</w:t>
      </w:r>
    </w:p>
    <w:p>
      <w:pPr>
        <w:shd w:fill="F3F4F6" w:val="clear"/>
        <w:spacing w:after="0" w:line="240"/>
        <w:ind w:left="220" w:right="220"/>
      </w:pPr>
      <w:r>
        <w:rPr>
          <w:rFonts w:ascii="Consolas" w:cs="Consolas" w:eastAsia="Consolas" w:hAnsi="Consolas"/>
          <w:color w:val="202020"/>
          <w:sz w:val="17"/>
          <w:szCs w:val="17"/>
        </w:rPr>
        <w:t xml:space="preserve"> </w:t>
      </w:r>
    </w:p>
    <w:p>
      <w:pPr>
        <w:shd w:fill="F3F4F6" w:val="clear"/>
        <w:spacing w:after="0" w:line="240"/>
        <w:ind w:left="220" w:right="220"/>
      </w:pPr>
      <w:r>
        <w:rPr>
          <w:rFonts w:ascii="Consolas" w:cs="Consolas" w:eastAsia="Consolas" w:hAnsi="Consolas"/>
          <w:color w:val="202020"/>
          <w:sz w:val="17"/>
          <w:szCs w:val="17"/>
        </w:rPr>
        <w:t xml:space="preserve">// Faz 5a — karşı taraf (simetrik olmayan)</w:t>
      </w:r>
    </w:p>
    <w:p>
      <w:pPr>
        <w:shd w:fill="F3F4F6" w:val="clear"/>
        <w:spacing w:after="0" w:line="240"/>
        <w:ind w:left="220" w:right="220"/>
      </w:pPr>
      <w:r>
        <w:rPr>
          <w:rFonts w:ascii="Consolas" w:cs="Consolas" w:eastAsia="Consolas" w:hAnsi="Consolas"/>
          <w:color w:val="202020"/>
          <w:sz w:val="17"/>
          <w:szCs w:val="17"/>
        </w:rPr>
        <w:t xml:space="preserve">cands = prioritize(peer.profile.cluster, peer.profile.min..max);  // m hedef</w:t>
      </w:r>
    </w:p>
    <w:p>
      <w:pPr>
        <w:shd w:fill="F3F4F6" w:val="clear"/>
        <w:spacing w:after="0" w:line="240"/>
        <w:ind w:left="220" w:right="220"/>
      </w:pPr>
      <w:r>
        <w:rPr>
          <w:rFonts w:ascii="Consolas" w:cs="Consolas" w:eastAsia="Consolas" w:hAnsi="Consolas"/>
          <w:color w:val="202020"/>
          <w:sz w:val="17"/>
          <w:szCs w:val="17"/>
        </w:rPr>
        <w:t xml:space="preserve">for (p in cands) send(fixed_sock, punch_probe, { peer.public_ip : p });</w:t>
      </w:r>
    </w:p>
    <w:p>
      <w:pPr>
        <w:shd w:fill="F3F4F6" w:val="clear"/>
        <w:spacing w:after="140" w:line="240"/>
        <w:ind w:left="220" w:right="220"/>
      </w:pPr>
      <w:r>
        <w:rPr>
          <w:rFonts w:ascii="Consolas" w:cs="Consolas" w:eastAsia="Consolas" w:hAnsi="Consolas"/>
          <w:color w:val="202020"/>
          <w:sz w:val="17"/>
          <w:szCs w:val="17"/>
        </w:rPr>
        <w:t xml:space="preserve">on_first_verified_path(path) =&gt; { cancel_all(); promote(path); }</w:t>
      </w:r>
    </w:p>
    <w:p>
      <w:pPr>
        <w:pStyle w:val="Heading2"/>
        <w:spacing w:after="120" w:before="240"/>
      </w:pPr>
      <w:r>
        <w:rPr>
          <w:rFonts w:ascii="Calibri" w:cs="Calibri" w:eastAsia="Calibri" w:hAnsi="Calibri"/>
          <w:b/>
          <w:bCs/>
          <w:color w:val="1F3A5F"/>
          <w:sz w:val="24"/>
          <w:szCs w:val="24"/>
        </w:rPr>
        <w:t xml:space="preserve">4.7. Faz 5b — Karşılıklı port spraying (Senaryo C)</w:t>
      </w:r>
    </w:p>
    <w:p>
      <w:pPr>
        <w:spacing w:after="120" w:line="276"/>
        <w:jc w:val="both"/>
      </w:pPr>
      <w:r>
        <w:rPr>
          <w:b w:val="false"/>
          <w:bCs w:val="false"/>
          <w:i w:val="false"/>
          <w:iCs w:val="false"/>
          <w:sz w:val="22"/>
          <w:szCs w:val="22"/>
        </w:rPr>
        <w:t xml:space="preserve">İki uç da simetrik ise her iki taraf da hem kendi yerel portlarını değiştirir hem de karşı ucun profil penceresini tarar. Bu durumda gereken koşul, Tablo 3’teki süzme davranışına göre nitelik değiştirir ve Bölüm 5.2’de gösterildiği üzere iki bağımsız tesadüfün çakışmasına dönüşebilir. Ayrıca yöntem yüksek gürültü ürettiğinden, oran sınırlama ve eşzamanlı akış kotası uygulayan cihazlarda denemeler kesişim gerçekleşmeden kesilmekte, katı kurumsal politikalarda ise büyük ölçüde engellenmektedir.</w:t>
      </w:r>
    </w:p>
    <w:p>
      <w:r>
        <w:br w:type="page"/>
      </w:r>
    </w:p>
    <w:p>
      <w:pPr>
        <w:pStyle w:val="Heading1"/>
        <w:spacing w:after="160" w:before="320"/>
      </w:pPr>
      <w:r>
        <w:rPr>
          <w:rFonts w:ascii="Calibri" w:cs="Calibri" w:eastAsia="Calibri" w:hAnsi="Calibri"/>
          <w:b/>
          <w:bCs/>
          <w:color w:val="1F3A5F"/>
          <w:sz w:val="28"/>
          <w:szCs w:val="28"/>
        </w:rPr>
        <w:t xml:space="preserve">5. Delme Olasılığının Analitik Modeli</w:t>
      </w:r>
    </w:p>
    <w:p>
      <w:pPr>
        <w:spacing w:after="120" w:line="276"/>
        <w:jc w:val="both"/>
      </w:pPr>
      <w:r>
        <w:rPr>
          <w:b w:val="false"/>
          <w:bCs w:val="false"/>
          <w:i w:val="false"/>
          <w:iCs w:val="false"/>
          <w:sz w:val="22"/>
          <w:szCs w:val="22"/>
        </w:rPr>
        <w:t xml:space="preserve">Bu bölümde, delme başarısını kapalı biçimde veren bir olasılık modeli kurulmuştur. Modelin amacı, hangi değişkenin başarıyı gerçekten belirlediğini ayırt etmek ve tasarım bütçelerini (soket sayısı, hedef sayısı, süre) mühendislik sezgisiyle değil hesapla seçmektir.</w:t>
      </w:r>
    </w:p>
    <w:p>
      <w:pPr>
        <w:pStyle w:val="Heading2"/>
        <w:spacing w:after="120" w:before="240"/>
      </w:pPr>
      <w:r>
        <w:rPr>
          <w:rFonts w:ascii="Calibri" w:cs="Calibri" w:eastAsia="Calibri" w:hAnsi="Calibri"/>
          <w:b/>
          <w:bCs/>
          <w:color w:val="1F3A5F"/>
          <w:sz w:val="24"/>
          <w:szCs w:val="24"/>
        </w:rPr>
        <w:t xml:space="preserve">5.1. Tek tesadüf durumu (Senaryo B)</w:t>
      </w:r>
    </w:p>
    <w:p>
      <w:pPr>
        <w:spacing w:after="120" w:line="276"/>
        <w:jc w:val="both"/>
      </w:pPr>
      <w:r>
        <w:rPr>
          <w:b w:val="false"/>
          <w:bCs w:val="false"/>
          <w:i w:val="false"/>
          <w:iCs w:val="false"/>
          <w:sz w:val="22"/>
          <w:szCs w:val="22"/>
        </w:rPr>
        <w:t xml:space="preserve">Simetrik tarafın açtığı n yerel soketin her biri, W genişliğindeki pencereden yaklaşık düzgün dağılımla bir dış port alsın; karşı taraf da bu pencerenin içinden m hedef portu tarasın. Karşı taraf simetrik olmadığından kendi portu sabittir ve simetrik tarafın soketleri zaten bu sabit porta yönelmiştir; dolayısıyla süzme koşulu kendiliğinden sağlanır ve tek bir çakışma yeterlidir:</w:t>
      </w:r>
    </w:p>
    <w:p>
      <w:pPr>
        <w:spacing w:after="140" w:before="60"/>
        <w:jc w:val="center"/>
      </w:pPr>
      <w:r>
        <w:rPr>
          <w:rFonts w:ascii="Cambria" w:cs="Cambria" w:eastAsia="Cambria" w:hAnsi="Cambria"/>
          <w:b/>
          <w:bCs/>
          <w:sz w:val="24"/>
          <w:szCs w:val="24"/>
        </w:rPr>
        <w:t xml:space="preserve">P₁(n, m, W)  =  1 − (1 − m/W)ⁿ</w:t>
      </w:r>
    </w:p>
    <w:p>
      <w:pPr>
        <w:spacing w:after="120" w:line="276"/>
        <w:jc w:val="both"/>
      </w:pPr>
      <w:r>
        <w:rPr>
          <w:b w:val="false"/>
          <w:bCs w:val="false"/>
          <w:i w:val="false"/>
          <w:iCs w:val="false"/>
          <w:sz w:val="22"/>
          <w:szCs w:val="22"/>
        </w:rPr>
        <w:t xml:space="preserve">Bu ifade, doğum günü paradoksunun kısıtlı bir hâlidir ve profillemenin neden belirleyici olduğunu doğrudan gösterir: W’nin tüm port uzayından gözlemlenen pencereye indirilmesi, aynı başarı düzeyi için gereken soket sayısını aynı oranda azaltır.</w:t>
      </w:r>
    </w:p>
    <w:p>
      <w:pPr>
        <w:pStyle w:val="Heading2"/>
        <w:spacing w:after="120" w:before="240"/>
      </w:pPr>
      <w:r>
        <w:rPr>
          <w:rFonts w:ascii="Calibri" w:cs="Calibri" w:eastAsia="Calibri" w:hAnsi="Calibri"/>
          <w:b/>
          <w:bCs/>
          <w:color w:val="1F3A5F"/>
          <w:sz w:val="24"/>
          <w:szCs w:val="24"/>
        </w:rPr>
        <w:t xml:space="preserve">5.2. Çift tesadüf durumu (Senaryo C)</w:t>
      </w:r>
    </w:p>
    <w:p>
      <w:pPr>
        <w:spacing w:after="120" w:line="276"/>
        <w:jc w:val="both"/>
      </w:pPr>
      <w:r>
        <w:rPr>
          <w:b w:val="false"/>
          <w:bCs w:val="false"/>
          <w:i w:val="false"/>
          <w:iCs w:val="false"/>
          <w:sz w:val="22"/>
          <w:szCs w:val="22"/>
        </w:rPr>
        <w:t xml:space="preserve">İki taraf da simetrik ve adres–porta bağımlı süzme uyguluyorsa durum niteliksel olarak değişir. A tarafının i numaralı soketi dış portu xᵢ’yi almış ve B’nin penceresinde tᵢ hedefini seçmiştir; B tarafının j numaralı soketi ise dış portu yⱼ’yi almış ve A’nın penceresinde uⱼ hedefini seçmiştir. A’dan çıkan paketin B tarafından kabul edilmesi için iki koşulun aynı anda sağlanması gerekir: yⱼ = tᵢ ve uⱼ = xᵢ. Yani hem A, B’nin gerçekte aldığı dış portu isabet ettirmeli; hem de B, tam o soketiyle A’nın gerçekte aldığı dış portu hedeflemiş olmalıdır. Bağımsız ve düzgün dağılım varsayımı altında beklenen çakışma sayısı λ = n·m / (W_A·W_B) olur ve</w:t>
      </w:r>
    </w:p>
    <w:p>
      <w:pPr>
        <w:spacing w:after="140" w:before="60"/>
        <w:jc w:val="center"/>
      </w:pPr>
      <w:r>
        <w:rPr>
          <w:rFonts w:ascii="Cambria" w:cs="Cambria" w:eastAsia="Cambria" w:hAnsi="Cambria"/>
          <w:b/>
          <w:bCs/>
          <w:sz w:val="24"/>
          <w:szCs w:val="24"/>
        </w:rPr>
        <w:t xml:space="preserve">P₂(n, m, W_A, W_B)  ≈  1 − e^(−n·m / (W_A·W_B))</w:t>
      </w:r>
    </w:p>
    <w:p>
      <w:pPr>
        <w:spacing w:after="120" w:line="276"/>
        <w:jc w:val="both"/>
      </w:pPr>
      <w:r>
        <w:rPr>
          <w:b w:val="false"/>
          <w:bCs w:val="false"/>
          <w:i w:val="false"/>
          <w:iCs w:val="false"/>
          <w:sz w:val="22"/>
          <w:szCs w:val="22"/>
        </w:rPr>
        <w:t xml:space="preserve">elde edilir. Bu, Senaryo B’deki tek tesadüf ifadesine kıyasla çok daha yavaş yükselen bir başarı eğrisidir: pencere genişlikleri çarpım hâlinde paydaya girdiğinden, düşük olasılık bölgesinde bütçeyi iki katına çıkarmak başarıyı yalnızca iki katına çıkarır; oysa tek tesadüf durumunda kazanç üsteldir. Buna karşılık, iki taraftan en az biri yalnızca adrese bağımlı süzme uyguluyorsa (yani gelen paketi kaynak portundan bağımsız olarak kabul ediyorsa) ikinci koşul düşer ve problem yeniden tek tesadüf hâline gelir. Sonuç olarak Senaryo C’de belirleyici değişken bütçe değil, uçlardaki süzme davranışıdır.</w:t>
      </w:r>
    </w:p>
    <w:p>
      <w:pPr>
        <w:pStyle w:val="Heading2"/>
        <w:spacing w:after="120" w:before="240"/>
      </w:pPr>
      <w:r>
        <w:rPr>
          <w:rFonts w:ascii="Calibri" w:cs="Calibri" w:eastAsia="Calibri" w:hAnsi="Calibri"/>
          <w:b/>
          <w:bCs/>
          <w:color w:val="1F3A5F"/>
          <w:sz w:val="24"/>
          <w:szCs w:val="24"/>
        </w:rPr>
        <w:t xml:space="preserve">5.3. Profil isabet oranı</w:t>
      </w:r>
    </w:p>
    <w:p>
      <w:pPr>
        <w:spacing w:after="120" w:line="276"/>
        <w:jc w:val="both"/>
      </w:pPr>
      <w:r>
        <w:rPr>
          <w:b w:val="false"/>
          <w:bCs w:val="false"/>
          <w:i w:val="false"/>
          <w:iCs w:val="false"/>
          <w:sz w:val="22"/>
          <w:szCs w:val="22"/>
        </w:rPr>
        <w:t xml:space="preserve">Yukarıdaki ifadeler, taranan m hedefin tamamının NAT’ın gerçek atama penceresine düştüğünü varsayar. Uygulamada bu varsayım tam sağlanmaz: profil örneklemi sınırlıdır, bazı cihazlar birden çok havuzdan atama yapar ve CGNAT katmanı araya ek bir dönüşüm ekleyebilir. Taranan hedeflerin gerçek pencereye düşen oranı ρ ile gösterilirse, etkin hedef sayısı m_etkin = ρ·m olur ve P₁ ifadesi bu değerle hesaplanır. Bölüm 6.6, başarının ρ’ya doğrusaldan daha hızlı bağlı olduğunu göstermektedir; bu nedenle profil kalitesi, bütçeyi artırmaktan daha değerlidir.</w:t>
      </w:r>
    </w:p>
    <w:p>
      <w:pPr>
        <w:pStyle w:val="Heading2"/>
        <w:spacing w:after="120" w:before="240"/>
      </w:pPr>
      <w:r>
        <w:rPr>
          <w:rFonts w:ascii="Calibri" w:cs="Calibri" w:eastAsia="Calibri" w:hAnsi="Calibri"/>
          <w:b/>
          <w:bCs/>
          <w:color w:val="1F3A5F"/>
          <w:sz w:val="24"/>
          <w:szCs w:val="24"/>
        </w:rPr>
        <w:t xml:space="preserve">5.4. Zaman ve oran kısıtı</w:t>
      </w:r>
    </w:p>
    <w:p>
      <w:pPr>
        <w:spacing w:after="120" w:line="276"/>
        <w:jc w:val="both"/>
      </w:pPr>
      <w:r>
        <w:rPr>
          <w:b w:val="false"/>
          <w:bCs w:val="false"/>
          <w:i w:val="false"/>
          <w:iCs w:val="false"/>
          <w:sz w:val="22"/>
          <w:szCs w:val="22"/>
        </w:rPr>
        <w:t xml:space="preserve">Model, n soketin eşzamanlı olarak canlı olduğunu varsayar. Gerçekte üç kısıt bu sayıyı düşürür: (i) NAT eşlemelerinin sınırlı ömrü, erken açılan soketlerin kesişim anında hâlâ geçerli olmasını garanti etmez; (ii) saniye başına yeni akış oranına konan sınır, denemelerin bir bölümünü hiç ağa çıkarmaz; (iii) eşzamanlı akış kotası, etkin n’i yapılandırılan değerin altında tutar. Etkin bütçe, bu üç kısıtın en küçüğüyle sınırlıdır ve delme süresi uzadıkça kazanç değil yalnızca gürültü üretilir.</w:t>
      </w:r>
    </w:p>
    <w:p>
      <w:pPr>
        <w:pStyle w:val="Heading1"/>
        <w:spacing w:after="160" w:before="320"/>
      </w:pPr>
      <w:r>
        <w:rPr>
          <w:rFonts w:ascii="Calibri" w:cs="Calibri" w:eastAsia="Calibri" w:hAnsi="Calibri"/>
          <w:b/>
          <w:bCs/>
          <w:color w:val="1F3A5F"/>
          <w:sz w:val="28"/>
          <w:szCs w:val="28"/>
        </w:rPr>
        <w:t xml:space="preserve">6. Simülasyon Çalışması ve Bulguları</w:t>
      </w:r>
    </w:p>
    <w:p>
      <w:pPr>
        <w:pStyle w:val="Heading2"/>
        <w:spacing w:after="120" w:before="240"/>
      </w:pPr>
      <w:r>
        <w:rPr>
          <w:rFonts w:ascii="Calibri" w:cs="Calibri" w:eastAsia="Calibri" w:hAnsi="Calibri"/>
          <w:b/>
          <w:bCs/>
          <w:color w:val="1F3A5F"/>
          <w:sz w:val="24"/>
          <w:szCs w:val="24"/>
        </w:rPr>
        <w:t xml:space="preserve">6.1. Yöntem</w:t>
      </w:r>
    </w:p>
    <w:p>
      <w:pPr>
        <w:spacing w:after="120" w:line="276"/>
        <w:jc w:val="both"/>
      </w:pPr>
      <w:r>
        <w:rPr>
          <w:b w:val="false"/>
          <w:bCs w:val="false"/>
          <w:i w:val="false"/>
          <w:iCs w:val="false"/>
          <w:sz w:val="22"/>
          <w:szCs w:val="22"/>
        </w:rPr>
        <w:t xml:space="preserve">Bölüm 5’teki kapalı ifadeler, bağımsızlık ve düzgün dağılım varsayımlarına dayanır. Bu varsayımların sonucu bozup bozmadığını denetlemek için, NAT davranışını olay düzeyinde taklit eden bir Monte Carlo simülasyonu yazılmıştır. Simülasyon; eşleme davranışını (simetrik / uçtan bağımsız), atama dağılımını (düzgün rastgele / ardışık sayaç), süzme davranışını (uçtan bağımsız, adrese bağımlı, adres ve porta bağımlı) ve bütçe kısıtlarını parametre olarak alır. Her hücre binlerce bağımsız tekrarla çalıştırılmış, sonuçlar analitik ifadelerle karşılaştırılmıştır. Çekirdek kod Ek B’de verilmiştir; sonuçlar aynı tohum değeriyle yeniden üretilebilir.</w:t>
      </w:r>
    </w:p>
    <w:p>
      <w:pPr>
        <w:spacing w:after="120" w:line="276"/>
        <w:jc w:val="both"/>
      </w:pPr>
      <w:r>
        <w:rPr>
          <w:b w:val="false"/>
          <w:bCs w:val="false"/>
          <w:i w:val="false"/>
          <w:iCs w:val="false"/>
          <w:sz w:val="22"/>
          <w:szCs w:val="22"/>
        </w:rPr>
        <w:t xml:space="preserve">Aşağıdaki şekillerde verilen değerler ölçüm değil, tanımlı bir modelin çıktısıdır. Modelin girdileri şunlardır: profillenmiş pencere genişliği W, taranan hedef sayısı m, eşzamanlı soket sayısı n, süzme sınıfı ve profil isabet oranı ρ.</w:t>
      </w:r>
    </w:p>
    <w:p>
      <w:pPr>
        <w:pStyle w:val="Heading2"/>
        <w:spacing w:after="120" w:before="240"/>
      </w:pPr>
      <w:r>
        <w:rPr>
          <w:rFonts w:ascii="Calibri" w:cs="Calibri" w:eastAsia="Calibri" w:hAnsi="Calibri"/>
          <w:b/>
          <w:bCs/>
          <w:color w:val="1F3A5F"/>
          <w:sz w:val="24"/>
          <w:szCs w:val="24"/>
        </w:rPr>
        <w:t xml:space="preserve">6.2. Tek tesadüf: profillemenin kazancı</w:t>
      </w:r>
    </w:p>
    <w:p>
      <w:pPr>
        <w:spacing w:after="120" w:line="276"/>
        <w:jc w:val="both"/>
      </w:pPr>
      <w:r>
        <w:rPr>
          <w:b w:val="false"/>
          <w:bCs w:val="false"/>
          <w:i w:val="false"/>
          <w:iCs w:val="false"/>
          <w:sz w:val="22"/>
          <w:szCs w:val="22"/>
        </w:rPr>
        <w:t xml:space="preserve">Şekil 1, Senaryo B için delme olasılığını eşzamanlı soket sayısına göre vermektedir. Monte Carlo noktaları analitik eğriyle örtüşmekte, bağımsızlık varsayımının bu senaryoda geçerli olduğunu doğrulamaktadır. Profillenmemiş durumda (tüm port uzayı taranırken) yüksek başarı için gereken soket sayısı, profillenmiş dar pencereye kıyasla büyüklük mertebesinde artmaktadır.</w:t>
      </w:r>
    </w:p>
    <w:p>
      <w:pPr>
        <w:spacing w:after="0" w:before="16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220" w:before="60"/>
        <w:jc w:val="center"/>
      </w:pPr>
      <w:r>
        <w:rPr>
          <w:i/>
          <w:iCs/>
          <w:color w:val="555555"/>
          <w:sz w:val="18"/>
          <w:szCs w:val="18"/>
        </w:rPr>
        <w:t xml:space="preserve">Şekil 1 — Senaryo B: analitik model ve Monte Carlo doğrulaması (model çıktısı).</w:t>
      </w:r>
    </w:p>
    <w:p>
      <w:pPr>
        <w:pStyle w:val="Heading2"/>
        <w:spacing w:after="120" w:before="240"/>
      </w:pPr>
      <w:r>
        <w:rPr>
          <w:rFonts w:ascii="Calibri" w:cs="Calibri" w:eastAsia="Calibri" w:hAnsi="Calibri"/>
          <w:b/>
          <w:bCs/>
          <w:color w:val="1F3A5F"/>
          <w:sz w:val="24"/>
          <w:szCs w:val="24"/>
        </w:rPr>
        <w:t xml:space="preserve">6.3. Gereken bütçenin pencere genişliğine bağımlılığı</w:t>
      </w:r>
    </w:p>
    <w:p>
      <w:pPr>
        <w:spacing w:after="120" w:line="276"/>
        <w:jc w:val="both"/>
      </w:pPr>
      <w:r>
        <w:rPr>
          <w:b w:val="false"/>
          <w:bCs w:val="false"/>
          <w:i w:val="false"/>
          <w:iCs w:val="false"/>
          <w:sz w:val="22"/>
          <w:szCs w:val="22"/>
        </w:rPr>
        <w:t xml:space="preserve">Şekil 2, sabit hedef sayısı için belirli bir başarı düzeyine ulaşmak üzere gereken eşzamanlı soket sayısını, atama penceresi genişliğine göre vermektedir. Pencere tüm port uzayından birkaç bin porta indirildiğinde gereken bütçe yaklaşık sekiz kat azalmaktadır. Bu, profilleme fazının maliyetini fazlasıyla karşılayan bir kazançtır ve NATGhost’un ICE’a göre asıl katkısının burada olduğunu göstermektedir.</w:t>
      </w:r>
    </w:p>
    <w:p>
      <w:pPr>
        <w:spacing w:after="0" w:before="16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47975"/>
                    </a:xfrm>
                    <a:prstGeom prst="rect">
                      <a:avLst/>
                    </a:prstGeom>
                  </pic:spPr>
                </pic:pic>
              </a:graphicData>
            </a:graphic>
          </wp:inline>
        </w:drawing>
      </w:r>
    </w:p>
    <w:p>
      <w:pPr>
        <w:spacing w:after="220" w:before="60"/>
        <w:jc w:val="center"/>
      </w:pPr>
      <w:r>
        <w:rPr>
          <w:i/>
          <w:iCs/>
          <w:color w:val="555555"/>
          <w:sz w:val="18"/>
          <w:szCs w:val="18"/>
        </w:rPr>
        <w:t xml:space="preserve">Şekil 2 — Belirli başarı düzeyi için gereken soket bütçesi (model çıktısı).</w:t>
      </w:r>
    </w:p>
    <w:p>
      <w:pPr>
        <w:pStyle w:val="Heading2"/>
        <w:spacing w:after="120" w:before="240"/>
      </w:pPr>
      <w:r>
        <w:rPr>
          <w:rFonts w:ascii="Calibri" w:cs="Calibri" w:eastAsia="Calibri" w:hAnsi="Calibri"/>
          <w:b/>
          <w:bCs/>
          <w:color w:val="1F3A5F"/>
          <w:sz w:val="24"/>
          <w:szCs w:val="24"/>
        </w:rPr>
        <w:t xml:space="preserve">6.4. Senaryo C: bütçe değil, süzme davranışı belirleyicidir</w:t>
      </w:r>
    </w:p>
    <w:p>
      <w:pPr>
        <w:spacing w:after="120" w:line="276"/>
        <w:jc w:val="both"/>
      </w:pPr>
      <w:r>
        <w:rPr>
          <w:b w:val="false"/>
          <w:bCs w:val="false"/>
          <w:i w:val="false"/>
          <w:iCs w:val="false"/>
          <w:sz w:val="22"/>
          <w:szCs w:val="22"/>
        </w:rPr>
        <w:t xml:space="preserve">Şekil 3, iki tarafın da simetrik olduğu durumda iki farklı süzme varsayımını karşılaştırmaktadır. En az bir tarafta adrese bağımlı süzme varsa, birkaç yüz soketlik bütçede yüksek başarıya ulaşılmaktadır. Buna karşılık iki tarafta da adres ve porta bağımlı süzme varsa, aynı bütçede başarı yüzde birler mertebesinde kalmakta; gerçekçi üst sınırların ötesindeki bütçelerde bile ancak onda birler düzeyine çıkabilmektedir. Monte Carlo noktaları bu davranışı doğrulamaktadır.</w:t>
      </w:r>
    </w:p>
    <w:p>
      <w:pPr>
        <w:spacing w:after="0" w:before="16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14650"/>
                    </a:xfrm>
                    <a:prstGeom prst="rect">
                      <a:avLst/>
                    </a:prstGeom>
                  </pic:spPr>
                </pic:pic>
              </a:graphicData>
            </a:graphic>
          </wp:inline>
        </w:drawing>
      </w:r>
    </w:p>
    <w:p>
      <w:pPr>
        <w:spacing w:after="220" w:before="60"/>
        <w:jc w:val="center"/>
      </w:pPr>
      <w:r>
        <w:rPr>
          <w:i/>
          <w:iCs/>
          <w:color w:val="555555"/>
          <w:sz w:val="18"/>
          <w:szCs w:val="18"/>
        </w:rPr>
        <w:t xml:space="preserve">Şekil 3 — Senaryo C’de belirleyici değişken süzme davranışıdır (model çıktısı).</w:t>
      </w:r>
    </w:p>
    <w:p>
      <w:pPr>
        <w:spacing w:after="120" w:line="276"/>
        <w:jc w:val="both"/>
      </w:pPr>
      <w:r>
        <w:rPr>
          <w:b w:val="false"/>
          <w:bCs w:val="false"/>
          <w:i w:val="false"/>
          <w:iCs w:val="false"/>
          <w:sz w:val="22"/>
          <w:szCs w:val="22"/>
        </w:rPr>
        <w:t xml:space="preserve">Bu bulgu, tasarım açısından iki sonuç doğurur. Birincisi, karşılıklı spraying için ayrılacak bütçeyi artırmak akılcı değildir; ikincisi, Senaryo C’ye girmeden önce uçların süzme davranışının da sınanması, gereksiz gürültüyü baştan önler. Karşılıklı spraying’in gerçek dünyada deterministik çalışmaması, gerçeklemedeki bir eksiklikten değil, bu olasılık yapısından kaynaklanmaktadır.</w:t>
      </w:r>
    </w:p>
    <w:p>
      <w:pPr>
        <w:pStyle w:val="Heading2"/>
        <w:spacing w:after="120" w:before="240"/>
      </w:pPr>
      <w:r>
        <w:rPr>
          <w:rFonts w:ascii="Calibri" w:cs="Calibri" w:eastAsia="Calibri" w:hAnsi="Calibri"/>
          <w:b/>
          <w:bCs/>
          <w:color w:val="1F3A5F"/>
          <w:sz w:val="24"/>
          <w:szCs w:val="24"/>
        </w:rPr>
        <w:t xml:space="preserve">6.5. Öngörülebilir atama yapan cihazlar</w:t>
      </w:r>
    </w:p>
    <w:p>
      <w:pPr>
        <w:spacing w:after="120" w:line="276"/>
        <w:jc w:val="both"/>
      </w:pPr>
      <w:r>
        <w:rPr>
          <w:b w:val="false"/>
          <w:bCs w:val="false"/>
          <w:i w:val="false"/>
          <w:iCs w:val="false"/>
          <w:sz w:val="22"/>
          <w:szCs w:val="22"/>
        </w:rPr>
        <w:t xml:space="preserve">Atamalarını rastgele değil, artan bir sayaçla yapan cihazlarda problem niteliksel olarak değişir: karşı tarafın gözlemlenen son dış portunun hemen ilerisindeki dar bir pencerenin taranması yeterli olur. Simülasyonda, araya giren diğer akışlar nedeniyle küçük bir sapma bulunsa dahi, onlarca soket ve onlarca hedeflik bütçe bu sınıfta neredeyse kesin başarı vermektedir. Bu nedenle profilleme fazına ardışıklık sınaması eklenmiştir: cihaz bu sınıfa giriyorsa yoğun spraying hiç başlatılmaz.</w:t>
      </w:r>
    </w:p>
    <w:p>
      <w:pPr>
        <w:pStyle w:val="Heading2"/>
        <w:spacing w:after="120" w:before="240"/>
      </w:pPr>
      <w:r>
        <w:rPr>
          <w:rFonts w:ascii="Calibri" w:cs="Calibri" w:eastAsia="Calibri" w:hAnsi="Calibri"/>
          <w:b/>
          <w:bCs/>
          <w:color w:val="1F3A5F"/>
          <w:sz w:val="24"/>
          <w:szCs w:val="24"/>
        </w:rPr>
        <w:t xml:space="preserve">6.6. Profil isabet oranının etkisi</w:t>
      </w:r>
    </w:p>
    <w:p>
      <w:pPr>
        <w:spacing w:after="120" w:line="276"/>
        <w:jc w:val="both"/>
      </w:pPr>
      <w:r>
        <w:rPr>
          <w:b w:val="false"/>
          <w:bCs w:val="false"/>
          <w:i w:val="false"/>
          <w:iCs w:val="false"/>
          <w:sz w:val="22"/>
          <w:szCs w:val="22"/>
        </w:rPr>
        <w:t xml:space="preserve">Şekil 4, taranan hedeflerin gerçek atama penceresine düşme oranı ρ düştükçe başarının nasıl çöktüğünü göstermektedir. İlişki doğrusal değildir: ρ’nun yarıya inmesi, gereken soket sayısını yaklaşık iki katına çıkarır ve sabit bütçede başarı hızla düşer. Uygulamada ρ’yu düşüren başlıca etkenler, örneklem sayısının yetersizliği, çoklu atama havuzları ve araya giren CGNAT katmanlarıdır. Bu nedenle profil örnekleminin kalitesi, spraying bütçesini büyütmekten daha önceliklidir.</w:t>
      </w:r>
    </w:p>
    <w:p>
      <w:pPr>
        <w:spacing w:after="0" w:before="16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05075"/>
                    </a:xfrm>
                    <a:prstGeom prst="rect">
                      <a:avLst/>
                    </a:prstGeom>
                  </pic:spPr>
                </pic:pic>
              </a:graphicData>
            </a:graphic>
          </wp:inline>
        </w:drawing>
      </w:r>
    </w:p>
    <w:p>
      <w:pPr>
        <w:spacing w:after="220" w:before="60"/>
        <w:jc w:val="center"/>
      </w:pPr>
      <w:r>
        <w:rPr>
          <w:i/>
          <w:iCs/>
          <w:color w:val="555555"/>
          <w:sz w:val="18"/>
          <w:szCs w:val="18"/>
        </w:rPr>
        <w:t xml:space="preserve">Şekil 4 — Profil isabet oranının delme başarısına etkisi (model çıktısı).</w:t>
      </w:r>
    </w:p>
    <w:p>
      <w:pPr>
        <w:pStyle w:val="Heading2"/>
        <w:spacing w:after="120" w:before="240"/>
      </w:pPr>
      <w:r>
        <w:rPr>
          <w:rFonts w:ascii="Calibri" w:cs="Calibri" w:eastAsia="Calibri" w:hAnsi="Calibri"/>
          <w:b/>
          <w:bCs/>
          <w:color w:val="1F3A5F"/>
          <w:sz w:val="24"/>
          <w:szCs w:val="24"/>
        </w:rPr>
        <w:t xml:space="preserve">6.7. Simülasyon bulgularının özeti</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2400"/>
        <w:gridCol w:w="3400"/>
        <w:gridCol w:w="3838"/>
      </w:tblGrid>
      <w:tr>
        <w:trPr>
          <w:tblHeader/>
        </w:trPr>
        <w:tc>
          <w:tcPr>
            <w:tcW w:type="dxa" w:w="2400"/>
            <w:shd w:fill="DCE3EC" w:val="clear"/>
            <w:tcMar>
              <w:top w:type="dxa" w:w="70"/>
              <w:left w:type="dxa" w:w="100"/>
              <w:bottom w:type="dxa" w:w="70"/>
              <w:right w:type="dxa" w:w="100"/>
            </w:tcMar>
          </w:tcPr>
          <w:p>
            <w:pPr>
              <w:spacing w:after="0" w:line="240"/>
              <w:jc w:val="center"/>
            </w:pPr>
            <w:r>
              <w:rPr>
                <w:b/>
                <w:bCs/>
                <w:sz w:val="19"/>
                <w:szCs w:val="19"/>
              </w:rPr>
              <w:t xml:space="preserve">Senaryo</w:t>
            </w:r>
          </w:p>
        </w:tc>
        <w:tc>
          <w:tcPr>
            <w:tcW w:type="dxa" w:w="3400"/>
            <w:shd w:fill="DCE3EC" w:val="clear"/>
            <w:tcMar>
              <w:top w:type="dxa" w:w="70"/>
              <w:left w:type="dxa" w:w="100"/>
              <w:bottom w:type="dxa" w:w="70"/>
              <w:right w:type="dxa" w:w="100"/>
            </w:tcMar>
          </w:tcPr>
          <w:p>
            <w:pPr>
              <w:spacing w:after="0" w:line="240"/>
              <w:jc w:val="center"/>
            </w:pPr>
            <w:r>
              <w:rPr>
                <w:b/>
                <w:bCs/>
                <w:sz w:val="19"/>
                <w:szCs w:val="19"/>
              </w:rPr>
              <w:t xml:space="preserve">Gereken koşul</w:t>
            </w:r>
          </w:p>
        </w:tc>
        <w:tc>
          <w:tcPr>
            <w:tcW w:type="dxa" w:w="3838"/>
            <w:shd w:fill="DCE3EC" w:val="clear"/>
            <w:tcMar>
              <w:top w:type="dxa" w:w="70"/>
              <w:left w:type="dxa" w:w="100"/>
              <w:bottom w:type="dxa" w:w="70"/>
              <w:right w:type="dxa" w:w="100"/>
            </w:tcMar>
          </w:tcPr>
          <w:p>
            <w:pPr>
              <w:spacing w:after="0" w:line="240"/>
              <w:jc w:val="center"/>
            </w:pPr>
            <w:r>
              <w:rPr>
                <w:b/>
                <w:bCs/>
                <w:sz w:val="19"/>
                <w:szCs w:val="19"/>
              </w:rPr>
              <w:t xml:space="preserve">Model çıktısı</w:t>
            </w:r>
          </w:p>
        </w:tc>
      </w:tr>
      <w:tr>
        <w:tc>
          <w:tcPr>
            <w:tcW w:type="dxa" w:w="2400"/>
            <w:tcMar>
              <w:top w:type="dxa" w:w="70"/>
              <w:left w:type="dxa" w:w="100"/>
              <w:bottom w:type="dxa" w:w="70"/>
              <w:right w:type="dxa" w:w="100"/>
            </w:tcMar>
          </w:tcPr>
          <w:p>
            <w:pPr>
              <w:spacing w:after="0" w:line="240"/>
              <w:jc w:val="left"/>
            </w:pPr>
            <w:r>
              <w:rPr>
                <w:b/>
                <w:bCs/>
                <w:sz w:val="19"/>
                <w:szCs w:val="19"/>
              </w:rPr>
              <w:t xml:space="preserve">A — simetrik uç yok</w:t>
            </w:r>
          </w:p>
        </w:tc>
        <w:tc>
          <w:tcPr>
            <w:tcW w:type="dxa" w:w="3400"/>
            <w:tcMar>
              <w:top w:type="dxa" w:w="70"/>
              <w:left w:type="dxa" w:w="100"/>
              <w:bottom w:type="dxa" w:w="70"/>
              <w:right w:type="dxa" w:w="100"/>
            </w:tcMar>
          </w:tcPr>
          <w:p>
            <w:pPr>
              <w:spacing w:after="0" w:line="240"/>
              <w:jc w:val="left"/>
            </w:pPr>
            <w:r>
              <w:rPr>
                <w:b w:val="false"/>
                <w:bCs w:val="false"/>
                <w:sz w:val="19"/>
                <w:szCs w:val="19"/>
              </w:rPr>
              <w:t xml:space="preserve">Yol zaten kurulabilir</w:t>
            </w:r>
          </w:p>
        </w:tc>
        <w:tc>
          <w:tcPr>
            <w:tcW w:type="dxa" w:w="3838"/>
            <w:tcMar>
              <w:top w:type="dxa" w:w="70"/>
              <w:left w:type="dxa" w:w="100"/>
              <w:bottom w:type="dxa" w:w="70"/>
              <w:right w:type="dxa" w:w="100"/>
            </w:tcMar>
          </w:tcPr>
          <w:p>
            <w:pPr>
              <w:spacing w:after="0" w:line="240"/>
              <w:jc w:val="left"/>
            </w:pPr>
            <w:r>
              <w:rPr>
                <w:b w:val="false"/>
                <w:bCs w:val="false"/>
                <w:sz w:val="19"/>
                <w:szCs w:val="19"/>
              </w:rPr>
              <w:t xml:space="preserve">ICE yeterlidir; ek mekanizma gereksizdir</w:t>
            </w:r>
          </w:p>
        </w:tc>
      </w:tr>
      <w:tr>
        <w:tc>
          <w:tcPr>
            <w:tcW w:type="dxa" w:w="2400"/>
            <w:tcMar>
              <w:top w:type="dxa" w:w="70"/>
              <w:left w:type="dxa" w:w="100"/>
              <w:bottom w:type="dxa" w:w="70"/>
              <w:right w:type="dxa" w:w="100"/>
            </w:tcMar>
          </w:tcPr>
          <w:p>
            <w:pPr>
              <w:spacing w:after="0" w:line="240"/>
              <w:jc w:val="left"/>
            </w:pPr>
            <w:r>
              <w:rPr>
                <w:b/>
                <w:bCs/>
                <w:sz w:val="19"/>
                <w:szCs w:val="19"/>
              </w:rPr>
              <w:t xml:space="preserve">B — tek uç simetrik</w:t>
            </w:r>
          </w:p>
        </w:tc>
        <w:tc>
          <w:tcPr>
            <w:tcW w:type="dxa" w:w="3400"/>
            <w:tcMar>
              <w:top w:type="dxa" w:w="70"/>
              <w:left w:type="dxa" w:w="100"/>
              <w:bottom w:type="dxa" w:w="70"/>
              <w:right w:type="dxa" w:w="100"/>
            </w:tcMar>
          </w:tcPr>
          <w:p>
            <w:pPr>
              <w:spacing w:after="0" w:line="240"/>
              <w:jc w:val="left"/>
            </w:pPr>
            <w:r>
              <w:rPr>
                <w:b w:val="false"/>
                <w:bCs w:val="false"/>
                <w:sz w:val="19"/>
                <w:szCs w:val="19"/>
              </w:rPr>
              <w:t xml:space="preserve">Tek tesadüf</w:t>
            </w:r>
          </w:p>
        </w:tc>
        <w:tc>
          <w:tcPr>
            <w:tcW w:type="dxa" w:w="3838"/>
            <w:tcMar>
              <w:top w:type="dxa" w:w="70"/>
              <w:left w:type="dxa" w:w="100"/>
              <w:bottom w:type="dxa" w:w="70"/>
              <w:right w:type="dxa" w:w="100"/>
            </w:tcMar>
          </w:tcPr>
          <w:p>
            <w:pPr>
              <w:spacing w:after="0" w:line="240"/>
              <w:jc w:val="left"/>
            </w:pPr>
            <w:r>
              <w:rPr>
                <w:b w:val="false"/>
                <w:bCs w:val="false"/>
                <w:sz w:val="19"/>
                <w:szCs w:val="19"/>
              </w:rPr>
              <w:t xml:space="preserve">Profillenmiş pencerede birkaç yüz soketlik bütçeyle yüksek başarı; başarı ρ’ya güçlü biçimde bağlı</w:t>
            </w:r>
          </w:p>
        </w:tc>
      </w:tr>
      <w:tr>
        <w:tc>
          <w:tcPr>
            <w:tcW w:type="dxa" w:w="2400"/>
            <w:tcMar>
              <w:top w:type="dxa" w:w="70"/>
              <w:left w:type="dxa" w:w="100"/>
              <w:bottom w:type="dxa" w:w="70"/>
              <w:right w:type="dxa" w:w="100"/>
            </w:tcMar>
          </w:tcPr>
          <w:p>
            <w:pPr>
              <w:spacing w:after="0" w:line="240"/>
              <w:jc w:val="left"/>
            </w:pPr>
            <w:r>
              <w:rPr>
                <w:b/>
                <w:bCs/>
                <w:sz w:val="19"/>
                <w:szCs w:val="19"/>
              </w:rPr>
              <w:t xml:space="preserve">C — iki uç simetrik, en az biri adrese bağımlı süzme</w:t>
            </w:r>
          </w:p>
        </w:tc>
        <w:tc>
          <w:tcPr>
            <w:tcW w:type="dxa" w:w="3400"/>
            <w:tcMar>
              <w:top w:type="dxa" w:w="70"/>
              <w:left w:type="dxa" w:w="100"/>
              <w:bottom w:type="dxa" w:w="70"/>
              <w:right w:type="dxa" w:w="100"/>
            </w:tcMar>
          </w:tcPr>
          <w:p>
            <w:pPr>
              <w:spacing w:after="0" w:line="240"/>
              <w:jc w:val="left"/>
            </w:pPr>
            <w:r>
              <w:rPr>
                <w:b w:val="false"/>
                <w:bCs w:val="false"/>
                <w:sz w:val="19"/>
                <w:szCs w:val="19"/>
              </w:rPr>
              <w:t xml:space="preserve">Tek tesadüf</w:t>
            </w:r>
          </w:p>
        </w:tc>
        <w:tc>
          <w:tcPr>
            <w:tcW w:type="dxa" w:w="3838"/>
            <w:tcMar>
              <w:top w:type="dxa" w:w="70"/>
              <w:left w:type="dxa" w:w="100"/>
              <w:bottom w:type="dxa" w:w="70"/>
              <w:right w:type="dxa" w:w="100"/>
            </w:tcMar>
          </w:tcPr>
          <w:p>
            <w:pPr>
              <w:spacing w:after="0" w:line="240"/>
              <w:jc w:val="left"/>
            </w:pPr>
            <w:r>
              <w:rPr>
                <w:b w:val="false"/>
                <w:bCs w:val="false"/>
                <w:sz w:val="19"/>
                <w:szCs w:val="19"/>
              </w:rPr>
              <w:t xml:space="preserve">Birkaç yüz soketlik bütçeyle yüksek başarı</w:t>
            </w:r>
          </w:p>
        </w:tc>
      </w:tr>
      <w:tr>
        <w:tc>
          <w:tcPr>
            <w:tcW w:type="dxa" w:w="2400"/>
            <w:tcMar>
              <w:top w:type="dxa" w:w="70"/>
              <w:left w:type="dxa" w:w="100"/>
              <w:bottom w:type="dxa" w:w="70"/>
              <w:right w:type="dxa" w:w="100"/>
            </w:tcMar>
          </w:tcPr>
          <w:p>
            <w:pPr>
              <w:spacing w:after="0" w:line="240"/>
              <w:jc w:val="left"/>
            </w:pPr>
            <w:r>
              <w:rPr>
                <w:b/>
                <w:bCs/>
                <w:sz w:val="19"/>
                <w:szCs w:val="19"/>
              </w:rPr>
              <w:t xml:space="preserve">C — iki uç simetrik, iki tarafta da adres+porta bağımlı süzme</w:t>
            </w:r>
          </w:p>
        </w:tc>
        <w:tc>
          <w:tcPr>
            <w:tcW w:type="dxa" w:w="3400"/>
            <w:tcMar>
              <w:top w:type="dxa" w:w="70"/>
              <w:left w:type="dxa" w:w="100"/>
              <w:bottom w:type="dxa" w:w="70"/>
              <w:right w:type="dxa" w:w="100"/>
            </w:tcMar>
          </w:tcPr>
          <w:p>
            <w:pPr>
              <w:spacing w:after="0" w:line="240"/>
              <w:jc w:val="left"/>
            </w:pPr>
            <w:r>
              <w:rPr>
                <w:b w:val="false"/>
                <w:bCs w:val="false"/>
                <w:sz w:val="19"/>
                <w:szCs w:val="19"/>
              </w:rPr>
              <w:t xml:space="preserve">Çift tesadüf</w:t>
            </w:r>
          </w:p>
        </w:tc>
        <w:tc>
          <w:tcPr>
            <w:tcW w:type="dxa" w:w="3838"/>
            <w:tcMar>
              <w:top w:type="dxa" w:w="70"/>
              <w:left w:type="dxa" w:w="100"/>
              <w:bottom w:type="dxa" w:w="70"/>
              <w:right w:type="dxa" w:w="100"/>
            </w:tcMar>
          </w:tcPr>
          <w:p>
            <w:pPr>
              <w:spacing w:after="0" w:line="240"/>
              <w:jc w:val="left"/>
            </w:pPr>
            <w:r>
              <w:rPr>
                <w:b w:val="false"/>
                <w:bCs w:val="false"/>
                <w:sz w:val="19"/>
                <w:szCs w:val="19"/>
              </w:rPr>
              <w:t xml:space="preserve">Gerçekçi bütçelerde yüzde birler mertebesi; pratikte kullanılamaz</w:t>
            </w:r>
          </w:p>
        </w:tc>
      </w:tr>
      <w:tr>
        <w:tc>
          <w:tcPr>
            <w:tcW w:type="dxa" w:w="2400"/>
            <w:tcMar>
              <w:top w:type="dxa" w:w="70"/>
              <w:left w:type="dxa" w:w="100"/>
              <w:bottom w:type="dxa" w:w="70"/>
              <w:right w:type="dxa" w:w="100"/>
            </w:tcMar>
          </w:tcPr>
          <w:p>
            <w:pPr>
              <w:spacing w:after="0" w:line="240"/>
              <w:jc w:val="left"/>
            </w:pPr>
            <w:r>
              <w:rPr>
                <w:b/>
                <w:bCs/>
                <w:sz w:val="19"/>
                <w:szCs w:val="19"/>
              </w:rPr>
              <w:t xml:space="preserve">Öngörülebilir (ardışık) atama</w:t>
            </w:r>
          </w:p>
        </w:tc>
        <w:tc>
          <w:tcPr>
            <w:tcW w:type="dxa" w:w="3400"/>
            <w:tcMar>
              <w:top w:type="dxa" w:w="70"/>
              <w:left w:type="dxa" w:w="100"/>
              <w:bottom w:type="dxa" w:w="70"/>
              <w:right w:type="dxa" w:w="100"/>
            </w:tcMar>
          </w:tcPr>
          <w:p>
            <w:pPr>
              <w:spacing w:after="0" w:line="240"/>
              <w:jc w:val="left"/>
            </w:pPr>
            <w:r>
              <w:rPr>
                <w:b w:val="false"/>
                <w:bCs w:val="false"/>
                <w:sz w:val="19"/>
                <w:szCs w:val="19"/>
              </w:rPr>
              <w:t xml:space="preserve">Dar pencere tahmini</w:t>
            </w:r>
          </w:p>
        </w:tc>
        <w:tc>
          <w:tcPr>
            <w:tcW w:type="dxa" w:w="3838"/>
            <w:tcMar>
              <w:top w:type="dxa" w:w="70"/>
              <w:left w:type="dxa" w:w="100"/>
              <w:bottom w:type="dxa" w:w="70"/>
              <w:right w:type="dxa" w:w="100"/>
            </w:tcMar>
          </w:tcPr>
          <w:p>
            <w:pPr>
              <w:spacing w:after="0" w:line="240"/>
              <w:jc w:val="left"/>
            </w:pPr>
            <w:r>
              <w:rPr>
                <w:b w:val="false"/>
                <w:bCs w:val="false"/>
                <w:sz w:val="19"/>
                <w:szCs w:val="19"/>
              </w:rPr>
              <w:t xml:space="preserve">Onlarca soketlik bütçeyle neredeyse kesin başarı</w:t>
            </w:r>
          </w:p>
        </w:tc>
      </w:tr>
    </w:tbl>
    <w:p>
      <w:pPr>
        <w:spacing w:after="220" w:before="60"/>
        <w:jc w:val="center"/>
      </w:pPr>
      <w:r>
        <w:rPr>
          <w:i/>
          <w:iCs/>
          <w:color w:val="555555"/>
          <w:sz w:val="18"/>
          <w:szCs w:val="18"/>
        </w:rPr>
        <w:t xml:space="preserve">Tablo 5 — Senaryolara göre gereken koşul ve modelin öngörüsü.</w:t>
      </w:r>
    </w:p>
    <w:p>
      <w:pPr>
        <w:pStyle w:val="Heading1"/>
        <w:spacing w:after="160" w:before="320"/>
      </w:pPr>
      <w:r>
        <w:rPr>
          <w:rFonts w:ascii="Calibri" w:cs="Calibri" w:eastAsia="Calibri" w:hAnsi="Calibri"/>
          <w:b/>
          <w:bCs/>
          <w:color w:val="1F3A5F"/>
          <w:sz w:val="28"/>
          <w:szCs w:val="28"/>
        </w:rPr>
        <w:t xml:space="preserve">7. Prototip Test Çalışmasının Niteliksel Bulguları</w:t>
      </w:r>
    </w:p>
    <w:p>
      <w:pPr>
        <w:spacing w:after="120" w:line="276"/>
        <w:jc w:val="both"/>
      </w:pPr>
      <w:r>
        <w:rPr>
          <w:b w:val="false"/>
          <w:bCs w:val="false"/>
          <w:i w:val="false"/>
          <w:iCs w:val="false"/>
          <w:sz w:val="22"/>
          <w:szCs w:val="22"/>
        </w:rPr>
        <w:t xml:space="preserve">Algoritmanın prototipi, farklı NAT gerçeklemeleri, erişim ağları ve güvenlik duvarı politikaları içeren ortamlarda denenmiştir. Bu denemeler kontrollü bir başarım ölçüm kampanyası değil, tasarım kararlarını yönlendirmeye dönük mühendislik denemeleridir; bu nedenle aşağıdaki bulgular eğilim ve sıralama düzeyinde, sayısal başarım iddiası olmaksızın raporlanmaktadır.</w:t>
      </w:r>
    </w:p>
    <w:p>
      <w:pPr>
        <w:pStyle w:val="ListParagraph"/>
        <w:numPr>
          <w:ilvl w:val="0"/>
          <w:numId w:val="2"/>
        </w:numPr>
        <w:spacing w:after="80" w:line="276"/>
        <w:jc w:val="both"/>
      </w:pPr>
      <w:r>
        <w:rPr>
          <w:sz w:val="22"/>
          <w:szCs w:val="22"/>
        </w:rPr>
        <w:t xml:space="preserve">NAT sınıflandırması, prototip ortamlarının tamamında saniyenin altında tamamlanmış ve gözlemlenen sınıflandırma hataları yalnızca yanıtların gecikip pencerenin dışında kaldığı durumlarda ortaya çıkmıştır.</w:t>
      </w:r>
    </w:p>
    <w:p>
      <w:pPr>
        <w:pStyle w:val="ListParagraph"/>
        <w:numPr>
          <w:ilvl w:val="0"/>
          <w:numId w:val="2"/>
        </w:numPr>
        <w:spacing w:after="80" w:line="276"/>
        <w:jc w:val="both"/>
      </w:pPr>
      <w:r>
        <w:rPr>
          <w:sz w:val="22"/>
          <w:szCs w:val="22"/>
        </w:rPr>
        <w:t xml:space="preserve">Senaryo B’de, ICE tek başına doğrudan yol kuramazken, profillenmiş spraying uygun koşullarda doğrudan yol kurabilmiştir. Bu, algoritmanın asıl katkısının doğrulandığı gözlemdir.</w:t>
      </w:r>
    </w:p>
    <w:p>
      <w:pPr>
        <w:pStyle w:val="ListParagraph"/>
        <w:numPr>
          <w:ilvl w:val="0"/>
          <w:numId w:val="2"/>
        </w:numPr>
        <w:spacing w:after="80" w:line="276"/>
        <w:jc w:val="both"/>
      </w:pPr>
      <w:r>
        <w:rPr>
          <w:sz w:val="22"/>
          <w:szCs w:val="22"/>
        </w:rPr>
        <w:t xml:space="preserve">Başarı, uçtaki yukarı yön bant genişliği ve etkin verim ile aynı yönde değişmiştir: bant genişliği düşük olan uçlarda denemeler eşleme ömrü içinde tamamlanamamış, başarı belirgin biçimde azalmıştır.</w:t>
      </w:r>
    </w:p>
    <w:p>
      <w:pPr>
        <w:pStyle w:val="ListParagraph"/>
        <w:numPr>
          <w:ilvl w:val="0"/>
          <w:numId w:val="2"/>
        </w:numPr>
        <w:spacing w:after="80" w:line="276"/>
        <w:jc w:val="both"/>
      </w:pPr>
      <w:r>
        <w:rPr>
          <w:sz w:val="22"/>
          <w:szCs w:val="22"/>
        </w:rPr>
        <w:t xml:space="preserve">Güvenlik duvarı politikası, gözlemlenen en baskın değişken olmuştur. Ev ve mobil ortamlardaki gevşek politikalarda yöntem çalışırken, oran sınırlama ve eşzamanlı akış kotası uygulayan kurumsal politikalarda başarı belirgin biçimde düşmüş, derin paket incelemesi yapan ortamlarda ise yöntem büyük ölçüde engellenmiştir.</w:t>
      </w:r>
    </w:p>
    <w:p>
      <w:pPr>
        <w:pStyle w:val="ListParagraph"/>
        <w:numPr>
          <w:ilvl w:val="0"/>
          <w:numId w:val="2"/>
        </w:numPr>
        <w:spacing w:after="80" w:line="276"/>
        <w:jc w:val="both"/>
      </w:pPr>
      <w:r>
        <w:rPr>
          <w:sz w:val="22"/>
          <w:szCs w:val="22"/>
        </w:rPr>
        <w:t xml:space="preserve">Senaryo C, hiçbir ortamda güvenilir biçimde çalışmamıştır. Bu gözlem, Bölüm 6.4’teki model sonucuyla birebir örtüşmektedir.</w:t>
      </w:r>
    </w:p>
    <w:p>
      <w:pPr>
        <w:pStyle w:val="ListParagraph"/>
        <w:numPr>
          <w:ilvl w:val="0"/>
          <w:numId w:val="2"/>
        </w:numPr>
        <w:spacing w:after="80" w:line="276"/>
        <w:jc w:val="both"/>
      </w:pPr>
      <w:r>
        <w:rPr>
          <w:sz w:val="22"/>
          <w:szCs w:val="22"/>
        </w:rPr>
        <w:t xml:space="preserve">Delme aşamasının ürettiği ek trafik ve kurulum gecikmesi, Senaryo A’dan C’ye doğru belirgin biçimde artmaktadır; bu artış, Bölüm 8’deki değerlendirmenin dayanaklarından biridir.</w:t>
      </w:r>
    </w:p>
    <w:p>
      <w:pPr>
        <w:pStyle w:val="ListParagraph"/>
        <w:numPr>
          <w:ilvl w:val="0"/>
          <w:numId w:val="2"/>
        </w:numPr>
        <w:spacing w:after="80" w:line="276"/>
        <w:jc w:val="both"/>
      </w:pPr>
      <w:r>
        <w:rPr>
          <w:sz w:val="22"/>
          <w:szCs w:val="22"/>
        </w:rPr>
        <w:t xml:space="preserve">Tekrarlanabilir gözlem: delme başarılı olduğu hâlde taşıma katmanının hâlâ eski adayı etkin sayması nedeniyle ilk veri paketlerinin düşmesi. Bu arıza, iki bileşende paralel tutulan bağlantı durumunun doğrudan sonucudur.</w:t>
      </w:r>
    </w:p>
    <w:p>
      <w:pPr>
        <w:spacing w:after="120" w:line="276"/>
        <w:jc w:val="both"/>
      </w:pPr>
      <w:r>
        <w:rPr>
          <w:b w:val="false"/>
          <w:bCs w:val="false"/>
          <w:i w:val="false"/>
          <w:iCs w:val="false"/>
          <w:sz w:val="22"/>
          <w:szCs w:val="22"/>
        </w:rPr>
        <w:t xml:space="preserve">Genel değerlendirme: NATGhost, ICE’ın yapısal olarak başarısız olduğu simetrik NAT senaryosunda kullanılabilir bir yol açmıştır. Ancak başarı; bant genişliği, etkin verim ve güvenlik duvarı politikasıyla güçlü biçimde eşdeğişim gösterdiğinden, başlangıçta hedeflenen deterministik başarı elde edilememiş; bunun yerine koşullara bağlı olasılıksal başarı elde edilmiştir. Bu, ağ ve bağlantı yapısının doğasından kaynaklanan bir sınırdır; algoritmanın gerçeklemesinden kaynaklanan bir eksiklik değildir. Bölüm 5 ve 6, bu sınırın neden yapısal olduğunu analitik olarak da göstermektedir.</w:t>
      </w:r>
    </w:p>
    <w:p>
      <w:r>
        <w:br w:type="page"/>
      </w:r>
    </w:p>
    <w:p>
      <w:pPr>
        <w:pStyle w:val="Heading1"/>
        <w:spacing w:after="160" w:before="320"/>
      </w:pPr>
      <w:r>
        <w:rPr>
          <w:rFonts w:ascii="Calibri" w:cs="Calibri" w:eastAsia="Calibri" w:hAnsi="Calibri"/>
          <w:b/>
          <w:bCs/>
          <w:color w:val="1F3A5F"/>
          <w:sz w:val="28"/>
          <w:szCs w:val="28"/>
        </w:rPr>
        <w:t xml:space="preserve">8. Değerlendirme: Bağımsız Modül Olarak Sürdürülmeme Gerekçesi</w:t>
      </w:r>
    </w:p>
    <w:p>
      <w:pPr>
        <w:spacing w:after="120" w:line="276"/>
        <w:jc w:val="both"/>
      </w:pPr>
      <w:r>
        <w:rPr>
          <w:b w:val="false"/>
          <w:bCs w:val="false"/>
          <w:i w:val="false"/>
          <w:iCs w:val="false"/>
          <w:sz w:val="22"/>
          <w:szCs w:val="22"/>
        </w:rPr>
        <w:t xml:space="preserve">Mimari test çalışmaları sırasında, NAT geçişi işlevlerinin sinyalleşme ve taşıma katmanlarından bağımsız bir bileşen olarak işletilemeyeceği sonucuna varılmıştır. Bu sonuç, algoritmanın başarımından değil, bileşen sınırının yanlış çizilmiş olmasından kaynaklanmaktadır. Dört teknik gerekçe ve bunları tamamlayan bir ürün stratejisi değerlendirmesi aşağıda ayrıntılandırılmıştır.</w:t>
      </w:r>
    </w:p>
    <w:p>
      <w:pPr>
        <w:pStyle w:val="Heading2"/>
        <w:spacing w:after="120" w:before="240"/>
      </w:pPr>
      <w:r>
        <w:rPr>
          <w:rFonts w:ascii="Calibri" w:cs="Calibri" w:eastAsia="Calibri" w:hAnsi="Calibri"/>
          <w:b/>
          <w:bCs/>
          <w:color w:val="1F3A5F"/>
          <w:sz w:val="24"/>
          <w:szCs w:val="24"/>
        </w:rPr>
        <w:t xml:space="preserve">8.1. Bağlantı ve oturum durumunun birden fazla bileşende tekrar yönetilmesi</w:t>
      </w:r>
    </w:p>
    <w:p>
      <w:pPr>
        <w:spacing w:after="120" w:line="276"/>
        <w:jc w:val="both"/>
      </w:pPr>
      <w:r>
        <w:rPr>
          <w:b w:val="false"/>
          <w:bCs w:val="false"/>
          <w:i w:val="false"/>
          <w:iCs w:val="false"/>
          <w:sz w:val="22"/>
          <w:szCs w:val="22"/>
        </w:rPr>
        <w:t xml:space="preserve">Bağımsız bir NATGhost modülü; kendi soket havuzunu, aday listesini, zaman aşımı sayaçlarını ve yol doğrulama durumunu tutmak zorundadır. Aynı bilgiler taşıma katmanında da tutulmaktadır: hangi yol etkindir, hangi yol yedektir, hangi eşleme canlı tutulmalıdır, yeniden bağlanma ne zaman tetiklenecektir. İki bileşende paralel tutulan bu durum, tek bir gerçek kaynağın bulunmadığı bir tasarımdır ve tutarsızlık hâlinde hata ayıklaması güç, yeniden üretilmesi zor arızalar doğurur. Bölüm 7’de bildirilen “delme başarılı olduğu hâlde ilk paketlerin düşmesi” arızası bu sınıfın tipik örneğidir.</w:t>
      </w:r>
    </w:p>
    <w:p>
      <w:pPr>
        <w:pStyle w:val="Heading2"/>
        <w:spacing w:after="120" w:before="240"/>
      </w:pPr>
      <w:r>
        <w:rPr>
          <w:rFonts w:ascii="Calibri" w:cs="Calibri" w:eastAsia="Calibri" w:hAnsi="Calibri"/>
          <w:b/>
          <w:bCs/>
          <w:color w:val="1F3A5F"/>
          <w:sz w:val="24"/>
          <w:szCs w:val="24"/>
        </w:rPr>
        <w:t xml:space="preserve">8.2. Entegrasyon karmaşıklığı</w:t>
      </w:r>
    </w:p>
    <w:p>
      <w:pPr>
        <w:spacing w:after="120" w:line="276"/>
        <w:jc w:val="both"/>
      </w:pPr>
      <w:r>
        <w:rPr>
          <w:b w:val="false"/>
          <w:bCs w:val="false"/>
          <w:i w:val="false"/>
          <w:iCs w:val="false"/>
          <w:sz w:val="22"/>
          <w:szCs w:val="22"/>
        </w:rPr>
        <w:t xml:space="preserve">Delme sonrasında kurulan yolun; şifreleme el sıkışması, tıkanıklık denetimi, yeniden iletim ve hata düzeltme mekanizmalarına devredilmesi gerekir. Bağımsız modül tasarımında bu devir, iki bileşen arasında ayrı bir sözleşme (soket sahipliğinin aktarımı, dosya tanıtıcısının devri, durum kopyalanması) gerektirmektedir. Bu sözleşme hem kod tabanında hem de güvenlik incelemesinde ek bir yüzey oluşturur; özellikle anahtar değişiminin hangi bileşenin sorumluluğunda olduğu sorusu güvenlik açısından bulanık bir sınır yaratmaktadır. Güvenli iletişim ürününde bulanık sınır kabul edilebilir değildir.</w:t>
      </w:r>
    </w:p>
    <w:p>
      <w:pPr>
        <w:pStyle w:val="Heading2"/>
        <w:spacing w:after="120" w:before="240"/>
      </w:pPr>
      <w:r>
        <w:rPr>
          <w:rFonts w:ascii="Calibri" w:cs="Calibri" w:eastAsia="Calibri" w:hAnsi="Calibri"/>
          <w:b/>
          <w:bCs/>
          <w:color w:val="1F3A5F"/>
          <w:sz w:val="24"/>
          <w:szCs w:val="24"/>
        </w:rPr>
        <w:t xml:space="preserve">8.3. Ek bağlantının bant genişliği maliyeti</w:t>
      </w:r>
    </w:p>
    <w:p>
      <w:pPr>
        <w:spacing w:after="120" w:line="276"/>
        <w:jc w:val="both"/>
      </w:pPr>
      <w:r>
        <w:rPr>
          <w:b w:val="false"/>
          <w:bCs w:val="false"/>
          <w:i w:val="false"/>
          <w:iCs w:val="false"/>
          <w:sz w:val="22"/>
          <w:szCs w:val="22"/>
        </w:rPr>
        <w:t xml:space="preserve">Bağımsız modül, kendi durum bilgisini eşitlemek için mevcut sinyalleşme kanalına ek bir kontrol bağlantısı gerektirmektedir. Delme aşamasının kendi trafiği zaten yüksektir; buna ek bir kontrol kanalının kurulum, canlı tutma ve durum eşitleme yükü eklendiğinde, düşük bant genişliğine sahip uçlarda delme başarısı bizzat bu ek yük tarafından düşürülmektedir. Bölüm 5.4’te tanımlanan zaman ve oran kısıtı göz önüne alındığında, delme bütçesinden çalınan her paket doğrudan başarı olasılığından düşmektedir. Yani bağımsız modül, ölçmeye çalıştığı başarıyı kendisi bozmaktadır.</w:t>
      </w:r>
    </w:p>
    <w:p>
      <w:pPr>
        <w:pStyle w:val="Heading2"/>
        <w:spacing w:after="120" w:before="240"/>
      </w:pPr>
      <w:r>
        <w:rPr>
          <w:rFonts w:ascii="Calibri" w:cs="Calibri" w:eastAsia="Calibri" w:hAnsi="Calibri"/>
          <w:b/>
          <w:bCs/>
          <w:color w:val="1F3A5F"/>
          <w:sz w:val="24"/>
          <w:szCs w:val="24"/>
        </w:rPr>
        <w:t xml:space="preserve">8.4. Kurulum gecikmesi</w:t>
      </w:r>
    </w:p>
    <w:p>
      <w:pPr>
        <w:spacing w:after="120" w:line="276"/>
        <w:jc w:val="both"/>
      </w:pPr>
      <w:r>
        <w:rPr>
          <w:b w:val="false"/>
          <w:bCs w:val="false"/>
          <w:i w:val="false"/>
          <w:iCs w:val="false"/>
          <w:sz w:val="22"/>
          <w:szCs w:val="22"/>
        </w:rPr>
        <w:t xml:space="preserve">Ek kontrol bağlantısının kurulması ve iki bileşen arasındaki durum devri, oturum açılış yoluna doğrudan gecikme eklemektedir. Bu ek gecikme, Senaryo A gibi hızlı kurulan durumlarda oransal olarak küçük görünse de, gerçek zamanlı ses ve görüntü oturumlarında kullanıcı tarafından algılanan “bağlanma” süresinin belirleyici bileşenidir. İşlevler katmanlara gömüldüğünde bu gecikme tümüyle ortadan kalkmaktadır.</w:t>
      </w:r>
    </w:p>
    <w:p>
      <w:pPr>
        <w:pStyle w:val="Heading2"/>
        <w:spacing w:after="120" w:before="240"/>
      </w:pPr>
      <w:r>
        <w:rPr>
          <w:rFonts w:ascii="Calibri" w:cs="Calibri" w:eastAsia="Calibri" w:hAnsi="Calibri"/>
          <w:b/>
          <w:bCs/>
          <w:color w:val="1F3A5F"/>
          <w:sz w:val="24"/>
          <w:szCs w:val="24"/>
        </w:rPr>
        <w:t xml:space="preserve">8.5. Ürün stratejisiyle uyum</w:t>
      </w:r>
    </w:p>
    <w:p>
      <w:pPr>
        <w:spacing w:after="120" w:line="276"/>
        <w:jc w:val="both"/>
      </w:pPr>
      <w:r>
        <w:rPr>
          <w:b w:val="false"/>
          <w:bCs w:val="false"/>
          <w:i w:val="false"/>
          <w:iCs w:val="false"/>
          <w:sz w:val="22"/>
          <w:szCs w:val="22"/>
        </w:rPr>
        <w:t xml:space="preserve">Projede hedef pazarın kurumsal ve savunma tarafına yönelmesiyle birlikte, kontrol düzleminin federe ve denetlenebilir olduğu, veri düzleminin ise uçtan uca şifreli kaldığı bir mimari benimsenmiştir. Bu mimaride her müşteri kurulumunda zaten bir hub bulunmaktadır. Dolayısıyla Bölüm 6.4’te modelin de kurtarılamaz gösterdiği Senaryo C dilimi için geri düşüş yolu maliyetsiz biçimde mevcuttur. Bağımsız bir modülü yalnızca bu dilimi kurtarmak için sürdürmek, mühendislik kaynağının verimsiz kullanımı olarak değerlendirilmiştir.</w:t>
      </w:r>
    </w:p>
    <w:p>
      <w:pPr>
        <w:pStyle w:val="Heading1"/>
        <w:spacing w:after="160" w:before="320"/>
      </w:pPr>
      <w:r>
        <w:rPr>
          <w:rFonts w:ascii="Calibri" w:cs="Calibri" w:eastAsia="Calibri" w:hAnsi="Calibri"/>
          <w:b/>
          <w:bCs/>
          <w:color w:val="1F3A5F"/>
          <w:sz w:val="28"/>
          <w:szCs w:val="28"/>
        </w:rPr>
        <w:t xml:space="preserve">9. Alınan Karar: Sadeleştirme ve Katmanlara Entegrasyon</w:t>
      </w:r>
    </w:p>
    <w:p>
      <w:pPr>
        <w:spacing w:after="120" w:line="276"/>
        <w:jc w:val="both"/>
      </w:pPr>
      <w:r>
        <w:rPr>
          <w:b w:val="false"/>
          <w:bCs w:val="false"/>
          <w:i w:val="false"/>
          <w:iCs w:val="false"/>
          <w:sz w:val="22"/>
          <w:szCs w:val="22"/>
        </w:rPr>
        <w:t xml:space="preserve">Planlanan işlevlerin çoğu sadeleştirilmiş, korunanlar sinyalleşme ve taşıma katmanlarına entegre edilmiştir. İşlev bazında alınan kararlar aşağıdaki tabloda verilmiştir.</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3000"/>
        <w:gridCol w:w="1900"/>
        <w:gridCol w:w="4738"/>
      </w:tblGrid>
      <w:tr>
        <w:trPr>
          <w:tblHeader/>
        </w:trPr>
        <w:tc>
          <w:tcPr>
            <w:tcW w:type="dxa" w:w="3000"/>
            <w:shd w:fill="DCE3EC" w:val="clear"/>
            <w:tcMar>
              <w:top w:type="dxa" w:w="70"/>
              <w:left w:type="dxa" w:w="100"/>
              <w:bottom w:type="dxa" w:w="70"/>
              <w:right w:type="dxa" w:w="100"/>
            </w:tcMar>
          </w:tcPr>
          <w:p>
            <w:pPr>
              <w:spacing w:after="0" w:line="240"/>
              <w:jc w:val="center"/>
            </w:pPr>
            <w:r>
              <w:rPr>
                <w:b/>
                <w:bCs/>
                <w:sz w:val="19"/>
                <w:szCs w:val="19"/>
              </w:rPr>
              <w:t xml:space="preserve">NATGhost işlevi</w:t>
            </w:r>
          </w:p>
        </w:tc>
        <w:tc>
          <w:tcPr>
            <w:tcW w:type="dxa" w:w="1900"/>
            <w:shd w:fill="DCE3EC" w:val="clear"/>
            <w:tcMar>
              <w:top w:type="dxa" w:w="70"/>
              <w:left w:type="dxa" w:w="100"/>
              <w:bottom w:type="dxa" w:w="70"/>
              <w:right w:type="dxa" w:w="100"/>
            </w:tcMar>
          </w:tcPr>
          <w:p>
            <w:pPr>
              <w:spacing w:after="0" w:line="240"/>
              <w:jc w:val="center"/>
            </w:pPr>
            <w:r>
              <w:rPr>
                <w:b/>
                <w:bCs/>
                <w:sz w:val="19"/>
                <w:szCs w:val="19"/>
              </w:rPr>
              <w:t xml:space="preserve">Karar</w:t>
            </w:r>
          </w:p>
        </w:tc>
        <w:tc>
          <w:tcPr>
            <w:tcW w:type="dxa" w:w="4738"/>
            <w:shd w:fill="DCE3EC" w:val="clear"/>
            <w:tcMar>
              <w:top w:type="dxa" w:w="70"/>
              <w:left w:type="dxa" w:w="100"/>
              <w:bottom w:type="dxa" w:w="70"/>
              <w:right w:type="dxa" w:w="100"/>
            </w:tcMar>
          </w:tcPr>
          <w:p>
            <w:pPr>
              <w:spacing w:after="0" w:line="240"/>
              <w:jc w:val="center"/>
            </w:pPr>
            <w:r>
              <w:rPr>
                <w:b/>
                <w:bCs/>
                <w:sz w:val="19"/>
                <w:szCs w:val="19"/>
              </w:rPr>
              <w:t xml:space="preserve">Yeni konumu / açıklama</w:t>
            </w:r>
          </w:p>
        </w:tc>
      </w:tr>
      <w:tr>
        <w:tc>
          <w:tcPr>
            <w:tcW w:type="dxa" w:w="3000"/>
            <w:tcMar>
              <w:top w:type="dxa" w:w="70"/>
              <w:left w:type="dxa" w:w="100"/>
              <w:bottom w:type="dxa" w:w="70"/>
              <w:right w:type="dxa" w:w="100"/>
            </w:tcMar>
          </w:tcPr>
          <w:p>
            <w:pPr>
              <w:spacing w:after="0" w:line="240"/>
              <w:jc w:val="left"/>
            </w:pPr>
            <w:r>
              <w:rPr>
                <w:b/>
                <w:bCs/>
                <w:sz w:val="19"/>
                <w:szCs w:val="19"/>
              </w:rPr>
              <w:t xml:space="preserve">Paralel STUN prob ile NAT sınıflandırma</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Korundu, sadeleştirildi</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Sinyalleşme istemcisi; oturum açılışında bir kez, N = 3 sabitlenmiş bütçeyle çalışır</w:t>
            </w:r>
          </w:p>
        </w:tc>
      </w:tr>
      <w:tr>
        <w:tc>
          <w:tcPr>
            <w:tcW w:type="dxa" w:w="3000"/>
            <w:tcMar>
              <w:top w:type="dxa" w:w="70"/>
              <w:left w:type="dxa" w:w="100"/>
              <w:bottom w:type="dxa" w:w="70"/>
              <w:right w:type="dxa" w:w="100"/>
            </w:tcMar>
          </w:tcPr>
          <w:p>
            <w:pPr>
              <w:spacing w:after="0" w:line="240"/>
              <w:jc w:val="left"/>
            </w:pPr>
            <w:r>
              <w:rPr>
                <w:b/>
                <w:bCs/>
                <w:sz w:val="19"/>
                <w:szCs w:val="19"/>
              </w:rPr>
              <w:t xml:space="preserve">Simetrik port dağılımı profillemesi</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Korundu, küçültüldü</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Sinyalleşme istemcisi; yalnızca simetrik sınıf tespitinde ve daraltılmış bütçeyle örneklem toplanır</w:t>
            </w:r>
          </w:p>
        </w:tc>
      </w:tr>
      <w:tr>
        <w:tc>
          <w:tcPr>
            <w:tcW w:type="dxa" w:w="3000"/>
            <w:tcMar>
              <w:top w:type="dxa" w:w="70"/>
              <w:left w:type="dxa" w:w="100"/>
              <w:bottom w:type="dxa" w:w="70"/>
              <w:right w:type="dxa" w:w="100"/>
            </w:tcMar>
          </w:tcPr>
          <w:p>
            <w:pPr>
              <w:spacing w:after="0" w:line="240"/>
              <w:jc w:val="left"/>
            </w:pPr>
            <w:r>
              <w:rPr>
                <w:b/>
                <w:bCs/>
                <w:sz w:val="19"/>
                <w:szCs w:val="19"/>
              </w:rPr>
              <w:t xml:space="preserve">Ardışıklık sınaması</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Korundu</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Profilleme fazının parçası; öngörülebilir cihazlarda yoğun spraying hiç başlatılmaz</w:t>
            </w:r>
          </w:p>
        </w:tc>
      </w:tr>
      <w:tr>
        <w:tc>
          <w:tcPr>
            <w:tcW w:type="dxa" w:w="3000"/>
            <w:tcMar>
              <w:top w:type="dxa" w:w="70"/>
              <w:left w:type="dxa" w:w="100"/>
              <w:bottom w:type="dxa" w:w="70"/>
              <w:right w:type="dxa" w:w="100"/>
            </w:tcMar>
          </w:tcPr>
          <w:p>
            <w:pPr>
              <w:spacing w:after="0" w:line="240"/>
              <w:jc w:val="left"/>
            </w:pPr>
            <w:r>
              <w:rPr>
                <w:b/>
                <w:bCs/>
                <w:sz w:val="19"/>
                <w:szCs w:val="19"/>
              </w:rPr>
              <w:t xml:space="preserve">Profilin karşı uca iletilmesi</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Korundu</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Sinyalleşme protokolüne eklenen NAT profil alanı; ayrı kanal gerektirmez</w:t>
            </w:r>
          </w:p>
        </w:tc>
      </w:tr>
      <w:tr>
        <w:tc>
          <w:tcPr>
            <w:tcW w:type="dxa" w:w="3000"/>
            <w:tcMar>
              <w:top w:type="dxa" w:w="70"/>
              <w:left w:type="dxa" w:w="100"/>
              <w:bottom w:type="dxa" w:w="70"/>
              <w:right w:type="dxa" w:w="100"/>
            </w:tcMar>
          </w:tcPr>
          <w:p>
            <w:pPr>
              <w:spacing w:after="0" w:line="240"/>
              <w:jc w:val="left"/>
            </w:pPr>
            <w:r>
              <w:rPr>
                <w:b/>
                <w:bCs/>
                <w:sz w:val="19"/>
                <w:szCs w:val="19"/>
              </w:rPr>
              <w:t xml:space="preserve">Aday üretimi ve önceliklendirme</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ICE’a devredildi</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Taşıma katmanındaki ICE adaptörü; tekerlek yeniden icat edilmemiştir</w:t>
            </w:r>
          </w:p>
        </w:tc>
      </w:tr>
      <w:tr>
        <w:tc>
          <w:tcPr>
            <w:tcW w:type="dxa" w:w="3000"/>
            <w:tcMar>
              <w:top w:type="dxa" w:w="70"/>
              <w:left w:type="dxa" w:w="100"/>
              <w:bottom w:type="dxa" w:w="70"/>
              <w:right w:type="dxa" w:w="100"/>
            </w:tcMar>
          </w:tcPr>
          <w:p>
            <w:pPr>
              <w:spacing w:after="0" w:line="240"/>
              <w:jc w:val="left"/>
            </w:pPr>
            <w:r>
              <w:rPr>
                <w:b/>
                <w:bCs/>
                <w:sz w:val="19"/>
                <w:szCs w:val="19"/>
              </w:rPr>
              <w:t xml:space="preserve">Tek yönlü port spraying (Senaryo B)</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Korundu, bütçelendirildi</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Taşıma katmanı delme zamanlayıcısı; bütçe üst sınırları Bölüm 5–6’daki modele göre belirlenmiştir</w:t>
            </w:r>
          </w:p>
        </w:tc>
      </w:tr>
      <w:tr>
        <w:tc>
          <w:tcPr>
            <w:tcW w:type="dxa" w:w="3000"/>
            <w:tcMar>
              <w:top w:type="dxa" w:w="70"/>
              <w:left w:type="dxa" w:w="100"/>
              <w:bottom w:type="dxa" w:w="70"/>
              <w:right w:type="dxa" w:w="100"/>
            </w:tcMar>
          </w:tcPr>
          <w:p>
            <w:pPr>
              <w:spacing w:after="0" w:line="240"/>
              <w:jc w:val="left"/>
            </w:pPr>
            <w:r>
              <w:rPr>
                <w:b/>
                <w:bCs/>
                <w:sz w:val="19"/>
                <w:szCs w:val="19"/>
              </w:rPr>
              <w:t xml:space="preserve">Karşılıklı port spraying (Senaryo C)</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Alfa kapsamından çıkarıldı</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Yapılandırma bayrağı ile deneysel; varsayılan geri düşüş hub üzerinden aktarımdır</w:t>
            </w:r>
          </w:p>
        </w:tc>
      </w:tr>
      <w:tr>
        <w:tc>
          <w:tcPr>
            <w:tcW w:type="dxa" w:w="3000"/>
            <w:tcMar>
              <w:top w:type="dxa" w:w="70"/>
              <w:left w:type="dxa" w:w="100"/>
              <w:bottom w:type="dxa" w:w="70"/>
              <w:right w:type="dxa" w:w="100"/>
            </w:tcMar>
          </w:tcPr>
          <w:p>
            <w:pPr>
              <w:spacing w:after="0" w:line="240"/>
              <w:jc w:val="left"/>
            </w:pPr>
            <w:r>
              <w:rPr>
                <w:b/>
                <w:bCs/>
                <w:sz w:val="19"/>
                <w:szCs w:val="19"/>
              </w:rPr>
              <w:t xml:space="preserve">Bağımsız oturum/durum makinesi</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Kaldırıldı</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Bağlantı durumunun tek gerçek kaynağı taşıma katmanıdır</w:t>
            </w:r>
          </w:p>
        </w:tc>
      </w:tr>
      <w:tr>
        <w:tc>
          <w:tcPr>
            <w:tcW w:type="dxa" w:w="3000"/>
            <w:tcMar>
              <w:top w:type="dxa" w:w="70"/>
              <w:left w:type="dxa" w:w="100"/>
              <w:bottom w:type="dxa" w:w="70"/>
              <w:right w:type="dxa" w:w="100"/>
            </w:tcMar>
          </w:tcPr>
          <w:p>
            <w:pPr>
              <w:spacing w:after="0" w:line="240"/>
              <w:jc w:val="left"/>
            </w:pPr>
            <w:r>
              <w:rPr>
                <w:b/>
                <w:bCs/>
                <w:sz w:val="19"/>
                <w:szCs w:val="19"/>
              </w:rPr>
              <w:t xml:space="preserve">Ayrı NATGhost kontrol bağlantısı</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Kaldırıldı</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Mevcut sinyalleşme kanalı kullanılır; ek bağlantı maliyeti sıfırlanmıştır</w:t>
            </w:r>
          </w:p>
        </w:tc>
      </w:tr>
      <w:tr>
        <w:tc>
          <w:tcPr>
            <w:tcW w:type="dxa" w:w="3000"/>
            <w:tcMar>
              <w:top w:type="dxa" w:w="70"/>
              <w:left w:type="dxa" w:w="100"/>
              <w:bottom w:type="dxa" w:w="70"/>
              <w:right w:type="dxa" w:w="100"/>
            </w:tcMar>
          </w:tcPr>
          <w:p>
            <w:pPr>
              <w:spacing w:after="0" w:line="240"/>
              <w:jc w:val="left"/>
            </w:pPr>
            <w:r>
              <w:rPr>
                <w:b/>
                <w:bCs/>
                <w:sz w:val="19"/>
                <w:szCs w:val="19"/>
              </w:rPr>
              <w:t xml:space="preserve">Delme sonrası soket/anahtar devri</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Kaldırıldı</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Şifreleme el sıkışması doğrudan delinen yol üzerinde yapılır; çift el sıkışma ortadan kalkmıştır</w:t>
            </w:r>
          </w:p>
        </w:tc>
      </w:tr>
      <w:tr>
        <w:tc>
          <w:tcPr>
            <w:tcW w:type="dxa" w:w="3000"/>
            <w:tcMar>
              <w:top w:type="dxa" w:w="70"/>
              <w:left w:type="dxa" w:w="100"/>
              <w:bottom w:type="dxa" w:w="70"/>
              <w:right w:type="dxa" w:w="100"/>
            </w:tcMar>
          </w:tcPr>
          <w:p>
            <w:pPr>
              <w:spacing w:after="0" w:line="240"/>
              <w:jc w:val="left"/>
            </w:pPr>
            <w:r>
              <w:rPr>
                <w:b/>
                <w:bCs/>
                <w:sz w:val="19"/>
                <w:szCs w:val="19"/>
              </w:rPr>
              <w:t xml:space="preserve">Aktarım (relay) geri düşüşü</w:t>
            </w:r>
          </w:p>
        </w:tc>
        <w:tc>
          <w:tcPr>
            <w:tcW w:type="dxa" w:w="1900"/>
            <w:tcMar>
              <w:top w:type="dxa" w:w="70"/>
              <w:left w:type="dxa" w:w="100"/>
              <w:bottom w:type="dxa" w:w="70"/>
              <w:right w:type="dxa" w:w="100"/>
            </w:tcMar>
          </w:tcPr>
          <w:p>
            <w:pPr>
              <w:spacing w:after="0" w:line="240"/>
              <w:jc w:val="left"/>
            </w:pPr>
            <w:r>
              <w:rPr>
                <w:b w:val="false"/>
                <w:bCs w:val="false"/>
                <w:sz w:val="19"/>
                <w:szCs w:val="19"/>
              </w:rPr>
              <w:t xml:space="preserve">Korundu</w:t>
            </w:r>
          </w:p>
        </w:tc>
        <w:tc>
          <w:tcPr>
            <w:tcW w:type="dxa" w:w="4738"/>
            <w:tcMar>
              <w:top w:type="dxa" w:w="70"/>
              <w:left w:type="dxa" w:w="100"/>
              <w:bottom w:type="dxa" w:w="70"/>
              <w:right w:type="dxa" w:w="100"/>
            </w:tcMar>
          </w:tcPr>
          <w:p>
            <w:pPr>
              <w:spacing w:after="0" w:line="240"/>
              <w:jc w:val="left"/>
            </w:pPr>
            <w:r>
              <w:rPr>
                <w:b w:val="false"/>
                <w:bCs w:val="false"/>
                <w:sz w:val="19"/>
                <w:szCs w:val="19"/>
              </w:rPr>
              <w:t xml:space="preserve">Hub yolu; kontrol düzlemi federe mimarinin doğal bileşeni</w:t>
            </w:r>
          </w:p>
        </w:tc>
      </w:tr>
    </w:tbl>
    <w:p>
      <w:pPr>
        <w:spacing w:after="220" w:before="60"/>
        <w:jc w:val="center"/>
      </w:pPr>
      <w:r>
        <w:rPr>
          <w:i/>
          <w:iCs/>
          <w:color w:val="555555"/>
          <w:sz w:val="18"/>
          <w:szCs w:val="18"/>
        </w:rPr>
        <w:t xml:space="preserve">Tablo 6 — NATGhost işlevlerinin sadeleştirme ve yeniden konumlandırma haritası.</w:t>
      </w:r>
    </w:p>
    <w:p>
      <w:pPr>
        <w:pStyle w:val="Heading2"/>
        <w:spacing w:after="120" w:before="240"/>
      </w:pPr>
      <w:r>
        <w:rPr>
          <w:rFonts w:ascii="Calibri" w:cs="Calibri" w:eastAsia="Calibri" w:hAnsi="Calibri"/>
          <w:b/>
          <w:bCs/>
          <w:color w:val="1F3A5F"/>
          <w:sz w:val="24"/>
          <w:szCs w:val="24"/>
        </w:rPr>
        <w:t xml:space="preserve">9.1. Karar kaydı</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2200"/>
        <w:gridCol w:w="7438"/>
      </w:tblGrid>
      <w:tr>
        <w:trPr>
          <w:tblHeader/>
        </w:trPr>
        <w:tc>
          <w:tcPr>
            <w:tcW w:type="dxa" w:w="2200"/>
            <w:shd w:fill="DCE3EC" w:val="clear"/>
            <w:tcMar>
              <w:top w:type="dxa" w:w="70"/>
              <w:left w:type="dxa" w:w="100"/>
              <w:bottom w:type="dxa" w:w="70"/>
              <w:right w:type="dxa" w:w="100"/>
            </w:tcMar>
          </w:tcPr>
          <w:p>
            <w:pPr>
              <w:spacing w:after="0" w:line="240"/>
              <w:jc w:val="center"/>
            </w:pPr>
            <w:r>
              <w:rPr>
                <w:b/>
                <w:bCs/>
                <w:sz w:val="19"/>
                <w:szCs w:val="19"/>
              </w:rPr>
              <w:t xml:space="preserve">Alan</w:t>
            </w:r>
          </w:p>
        </w:tc>
        <w:tc>
          <w:tcPr>
            <w:tcW w:type="dxa" w:w="7438"/>
            <w:shd w:fill="DCE3EC" w:val="clear"/>
            <w:tcMar>
              <w:top w:type="dxa" w:w="70"/>
              <w:left w:type="dxa" w:w="100"/>
              <w:bottom w:type="dxa" w:w="70"/>
              <w:right w:type="dxa" w:w="100"/>
            </w:tcMar>
          </w:tcPr>
          <w:p>
            <w:pPr>
              <w:spacing w:after="0" w:line="240"/>
              <w:jc w:val="center"/>
            </w:pPr>
            <w:r>
              <w:rPr>
                <w:b/>
                <w:bCs/>
                <w:sz w:val="19"/>
                <w:szCs w:val="19"/>
              </w:rPr>
              <w:t xml:space="preserve">İçerik</w:t>
            </w:r>
          </w:p>
        </w:tc>
      </w:tr>
      <w:tr>
        <w:tc>
          <w:tcPr>
            <w:tcW w:type="dxa" w:w="2200"/>
            <w:tcMar>
              <w:top w:type="dxa" w:w="70"/>
              <w:left w:type="dxa" w:w="100"/>
              <w:bottom w:type="dxa" w:w="70"/>
              <w:right w:type="dxa" w:w="100"/>
            </w:tcMar>
          </w:tcPr>
          <w:p>
            <w:pPr>
              <w:spacing w:after="0" w:line="240"/>
              <w:jc w:val="left"/>
            </w:pPr>
            <w:r>
              <w:rPr>
                <w:b/>
                <w:bCs/>
                <w:sz w:val="19"/>
                <w:szCs w:val="19"/>
              </w:rPr>
              <w:t xml:space="preserve">Karar no</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DR-NATGHOST-1</w:t>
            </w:r>
          </w:p>
        </w:tc>
      </w:tr>
      <w:tr>
        <w:tc>
          <w:tcPr>
            <w:tcW w:type="dxa" w:w="2200"/>
            <w:tcMar>
              <w:top w:type="dxa" w:w="70"/>
              <w:left w:type="dxa" w:w="100"/>
              <w:bottom w:type="dxa" w:w="70"/>
              <w:right w:type="dxa" w:w="100"/>
            </w:tcMar>
          </w:tcPr>
          <w:p>
            <w:pPr>
              <w:spacing w:after="0" w:line="240"/>
              <w:jc w:val="left"/>
            </w:pPr>
            <w:r>
              <w:rPr>
                <w:b/>
                <w:bCs/>
                <w:sz w:val="19"/>
                <w:szCs w:val="19"/>
              </w:rPr>
              <w:t xml:space="preserve">Tarih</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12.02.2026</w:t>
            </w:r>
          </w:p>
        </w:tc>
      </w:tr>
      <w:tr>
        <w:tc>
          <w:tcPr>
            <w:tcW w:type="dxa" w:w="2200"/>
            <w:tcMar>
              <w:top w:type="dxa" w:w="70"/>
              <w:left w:type="dxa" w:w="100"/>
              <w:bottom w:type="dxa" w:w="70"/>
              <w:right w:type="dxa" w:w="100"/>
            </w:tcMar>
          </w:tcPr>
          <w:p>
            <w:pPr>
              <w:spacing w:after="0" w:line="240"/>
              <w:jc w:val="left"/>
            </w:pPr>
            <w:r>
              <w:rPr>
                <w:b/>
                <w:bCs/>
                <w:sz w:val="19"/>
                <w:szCs w:val="19"/>
              </w:rPr>
              <w:t xml:space="preserve">Karar</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NATGhost bağımsız bir modül olarak sürdürülmeyecek; NAT farkındalığı ve profil değişimi sinyalleşme katmanına, delme zamanlayıcısı ve soket havuzu yönetimi taşıma katmanına entegre edilecektir.</w:t>
            </w:r>
          </w:p>
        </w:tc>
      </w:tr>
      <w:tr>
        <w:tc>
          <w:tcPr>
            <w:tcW w:type="dxa" w:w="2200"/>
            <w:tcMar>
              <w:top w:type="dxa" w:w="70"/>
              <w:left w:type="dxa" w:w="100"/>
              <w:bottom w:type="dxa" w:w="70"/>
              <w:right w:type="dxa" w:w="100"/>
            </w:tcMar>
          </w:tcPr>
          <w:p>
            <w:pPr>
              <w:spacing w:after="0" w:line="240"/>
              <w:jc w:val="left"/>
            </w:pPr>
            <w:r>
              <w:rPr>
                <w:b/>
                <w:bCs/>
                <w:sz w:val="19"/>
                <w:szCs w:val="19"/>
              </w:rPr>
              <w:t xml:space="preserve">Gerekçe</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Durum ikiliği, entegrasyon karmaşıklığı, ek kontrol bağlantısının bant genişliği maliyeti ve kurulum gecikmesi (Bölüm 8); Senaryo C’nin yapısal olasılık sınırı (Bölüm 6.4).</w:t>
            </w:r>
          </w:p>
        </w:tc>
      </w:tr>
      <w:tr>
        <w:tc>
          <w:tcPr>
            <w:tcW w:type="dxa" w:w="2200"/>
            <w:tcMar>
              <w:top w:type="dxa" w:w="70"/>
              <w:left w:type="dxa" w:w="100"/>
              <w:bottom w:type="dxa" w:w="70"/>
              <w:right w:type="dxa" w:w="100"/>
            </w:tcMar>
          </w:tcPr>
          <w:p>
            <w:pPr>
              <w:spacing w:after="0" w:line="240"/>
              <w:jc w:val="left"/>
            </w:pPr>
            <w:r>
              <w:rPr>
                <w:b/>
                <w:bCs/>
                <w:sz w:val="19"/>
                <w:szCs w:val="19"/>
              </w:rPr>
              <w:t xml:space="preserve">Korunan kabiliyet</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Simetrik NAT ardında aktarım sunucusuz doğrudan bağlantı kurma (Senaryo B), NAT sınıflandırma, port profilleme ve ardışıklık sınaması.</w:t>
            </w:r>
          </w:p>
        </w:tc>
      </w:tr>
      <w:tr>
        <w:tc>
          <w:tcPr>
            <w:tcW w:type="dxa" w:w="2200"/>
            <w:tcMar>
              <w:top w:type="dxa" w:w="70"/>
              <w:left w:type="dxa" w:w="100"/>
              <w:bottom w:type="dxa" w:w="70"/>
              <w:right w:type="dxa" w:w="100"/>
            </w:tcMar>
          </w:tcPr>
          <w:p>
            <w:pPr>
              <w:spacing w:after="0" w:line="240"/>
              <w:jc w:val="left"/>
            </w:pPr>
            <w:r>
              <w:rPr>
                <w:b/>
                <w:bCs/>
                <w:sz w:val="19"/>
                <w:szCs w:val="19"/>
              </w:rPr>
              <w:t xml:space="preserve">Kabul edilen risk</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Senaryo C’de iki tarafta da adres–porta bağımlı süzme bulunması hâlinde doğrudan yol kurulamaması; hub üzerinden aktarıma geri düşülür.</w:t>
            </w:r>
          </w:p>
        </w:tc>
      </w:tr>
      <w:tr>
        <w:tc>
          <w:tcPr>
            <w:tcW w:type="dxa" w:w="2200"/>
            <w:tcMar>
              <w:top w:type="dxa" w:w="70"/>
              <w:left w:type="dxa" w:w="100"/>
              <w:bottom w:type="dxa" w:w="70"/>
              <w:right w:type="dxa" w:w="100"/>
            </w:tcMar>
          </w:tcPr>
          <w:p>
            <w:pPr>
              <w:spacing w:after="0" w:line="240"/>
              <w:jc w:val="left"/>
            </w:pPr>
            <w:r>
              <w:rPr>
                <w:b/>
                <w:bCs/>
                <w:sz w:val="19"/>
                <w:szCs w:val="19"/>
              </w:rPr>
              <w:t xml:space="preserve">Etkilenen belgeler</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Taşıma katmanı tasarım belgesi, sinyalleşme protokolü belgesi, test planı.</w:t>
            </w:r>
          </w:p>
        </w:tc>
      </w:tr>
    </w:tbl>
    <w:p>
      <w:pPr>
        <w:spacing w:after="220" w:before="60"/>
        <w:jc w:val="center"/>
      </w:pPr>
      <w:r>
        <w:rPr>
          <w:i/>
          <w:iCs/>
          <w:color w:val="555555"/>
          <w:sz w:val="18"/>
          <w:szCs w:val="18"/>
        </w:rPr>
        <w:t xml:space="preserve">Tablo 7 — DR-NATGHOST-1 karar kaydı.</w:t>
      </w:r>
    </w:p>
    <w:p>
      <w:pPr>
        <w:pStyle w:val="Heading1"/>
        <w:spacing w:after="160" w:before="320"/>
      </w:pPr>
      <w:r>
        <w:rPr>
          <w:rFonts w:ascii="Calibri" w:cs="Calibri" w:eastAsia="Calibri" w:hAnsi="Calibri"/>
          <w:b/>
          <w:bCs/>
          <w:color w:val="1F3A5F"/>
          <w:sz w:val="28"/>
          <w:szCs w:val="28"/>
        </w:rPr>
        <w:t xml:space="preserve">10. Proje Hedeflerine Etkisi ve Risk Değerlendirmesi</w:t>
      </w:r>
    </w:p>
    <w:p>
      <w:pPr>
        <w:spacing w:after="80" w:line="276"/>
        <w:jc w:val="both"/>
      </w:pPr>
      <w:r>
        <w:rPr>
          <w:b w:val="false"/>
          <w:bCs w:val="false"/>
          <w:i w:val="false"/>
          <w:iCs w:val="false"/>
          <w:sz w:val="22"/>
          <w:szCs w:val="22"/>
        </w:rPr>
        <w:t xml:space="preserve">Kararın iş paketi hedefleri açısından etkisi aşağıdaki gibidir:</w:t>
      </w:r>
    </w:p>
    <w:p>
      <w:pPr>
        <w:pStyle w:val="ListParagraph"/>
        <w:numPr>
          <w:ilvl w:val="0"/>
          <w:numId w:val="2"/>
        </w:numPr>
        <w:spacing w:after="80" w:line="276"/>
        <w:jc w:val="both"/>
      </w:pPr>
      <w:r>
        <w:rPr>
          <w:sz w:val="22"/>
          <w:szCs w:val="22"/>
        </w:rPr>
        <w:t xml:space="preserve">Kabiliyet kaybı yoktur: iş planında taahhüt edilen “aktarım sunucusuna bağımlı olmayan uçtan uca bağlantı kurma” yeteneği korunmuştur; yalnızca bu yeteneği taşıyan bileşen sayısı üçten ikiye inmiştir.</w:t>
      </w:r>
    </w:p>
    <w:p>
      <w:pPr>
        <w:pStyle w:val="ListParagraph"/>
        <w:numPr>
          <w:ilvl w:val="0"/>
          <w:numId w:val="2"/>
        </w:numPr>
        <w:spacing w:after="80" w:line="276"/>
        <w:jc w:val="both"/>
      </w:pPr>
      <w:r>
        <w:rPr>
          <w:sz w:val="22"/>
          <w:szCs w:val="22"/>
        </w:rPr>
        <w:t xml:space="preserve">Bakım ve doğrulama yükü azalmıştır: ayrı durum makinesinin ve ayrı kontrol kanalının kaldırılmasıyla test yüzeyi daralmış, 608066 numaralı Test ve Simülasyon iş paketindeki senaryo sayısı azalmıştır.</w:t>
      </w:r>
    </w:p>
    <w:p>
      <w:pPr>
        <w:pStyle w:val="ListParagraph"/>
        <w:numPr>
          <w:ilvl w:val="0"/>
          <w:numId w:val="2"/>
        </w:numPr>
        <w:spacing w:after="80" w:line="276"/>
        <w:jc w:val="both"/>
      </w:pPr>
      <w:r>
        <w:rPr>
          <w:sz w:val="22"/>
          <w:szCs w:val="22"/>
        </w:rPr>
        <w:t xml:space="preserve">Kurulum gecikmesi ve sinyal trafiği iyileşmiştir: çift el sıkışma ve ek kontrol bağlantısı ortadan kalkmıştır.</w:t>
      </w:r>
    </w:p>
    <w:p>
      <w:pPr>
        <w:pStyle w:val="ListParagraph"/>
        <w:numPr>
          <w:ilvl w:val="0"/>
          <w:numId w:val="2"/>
        </w:numPr>
        <w:spacing w:after="80" w:line="276"/>
        <w:jc w:val="both"/>
      </w:pPr>
      <w:r>
        <w:rPr>
          <w:sz w:val="22"/>
          <w:szCs w:val="22"/>
        </w:rPr>
        <w:t xml:space="preserve">Kalan risk, iki tarafta da adres–porta bağımlı süzme bulunan Senaryo C dilimidir. Bu risk, kontrol düzlemi federe mimaride zaten mevcut olan hub üzerinden aktarım yoluyla karşılanmakta ve kabul edilmiş risk olarak izlenmektedir.</w:t>
      </w:r>
    </w:p>
    <w:p>
      <w:pPr>
        <w:pStyle w:val="ListParagraph"/>
        <w:numPr>
          <w:ilvl w:val="0"/>
          <w:numId w:val="2"/>
        </w:numPr>
        <w:spacing w:after="80" w:line="276"/>
        <w:jc w:val="both"/>
      </w:pPr>
      <w:r>
        <w:rPr>
          <w:sz w:val="22"/>
          <w:szCs w:val="22"/>
        </w:rPr>
        <w:t xml:space="preserve">Elde edilen bilgi birikimi kaybolmamıştır: sınıflandırma ve profilleme algoritmaları, olasılık modeli ve simülasyon altyapısı; taşıma katmanının uyarlanabilir davranışının bütçelendirilmesinde ve gelecekteki doğrulama kampanyalarının planlanmasında kullanılmaya devam etmektedir.</w:t>
      </w:r>
    </w:p>
    <w:p>
      <w:pPr>
        <w:pStyle w:val="Heading1"/>
        <w:spacing w:after="160" w:before="320"/>
      </w:pPr>
      <w:r>
        <w:rPr>
          <w:rFonts w:ascii="Calibri" w:cs="Calibri" w:eastAsia="Calibri" w:hAnsi="Calibri"/>
          <w:b/>
          <w:bCs/>
          <w:color w:val="1F3A5F"/>
          <w:sz w:val="28"/>
          <w:szCs w:val="28"/>
        </w:rPr>
        <w:t xml:space="preserve">11. Sonuç</w:t>
      </w:r>
    </w:p>
    <w:p>
      <w:pPr>
        <w:spacing w:after="120" w:line="276"/>
        <w:jc w:val="both"/>
      </w:pPr>
      <w:r>
        <w:rPr>
          <w:b w:val="false"/>
          <w:bCs w:val="false"/>
          <w:i w:val="false"/>
          <w:iCs w:val="false"/>
          <w:sz w:val="22"/>
          <w:szCs w:val="22"/>
        </w:rPr>
        <w:t xml:space="preserve">NATGhost algoritma raporu, iş planında öngörülen 01.12.2025 – 30.04.2026 aralığından önce, 12.02.2026 tarihinde tamamlanmıştır. Çalışma iki sonuç üretmiştir. Birincisi teknik sonuçtur: NAT eşleme davranışını çalışma zamanında sınıflandıran ve simetrik NAT’ın port atama dağılımını profilleyen bir algoritma ile, ICE’ın yapısal olarak başarısız olduğu koşullarda aktarım sunucusuz doğrudan bağlantı kurmak mümkündür; ancak bu başarı deterministik değil, ağ koşullarına ve özellikle uçlardaki süzme davranışına bağlı olasılıksal bir başarıdır. Bu sınır, Bölüm 5’teki olasılık modeliyle analitik olarak da gösterilmiştir.</w:t>
      </w:r>
    </w:p>
    <w:p>
      <w:pPr>
        <w:spacing w:after="120" w:line="276"/>
        <w:jc w:val="both"/>
      </w:pPr>
      <w:r>
        <w:rPr>
          <w:b w:val="false"/>
          <w:bCs w:val="false"/>
          <w:i w:val="false"/>
          <w:iCs w:val="false"/>
          <w:sz w:val="22"/>
          <w:szCs w:val="22"/>
        </w:rPr>
        <w:t xml:space="preserve">İkincisi mimari sonuçtur: bu kabiliyetin bağımsız bir modül olarak paketlenmesi, durum ikiliği ve entegrasyon maliyeti nedeniyle verimsizdir; kabiliyet, sinyalleşme ve taşıma katmanlarına dağıtıldığında hem korunmakta hem de daha ucuza mal olmaktadır. Bu nedenle planlanan işlevlerin çoğu sadeleştirilip sinyalleşme ve taşıma katmanlarına entegre edilmiş, bağımsız NATGhost modülünün geliştirilmesine devam edilmemiştir. Karar, analitik ve deneysel kanıta dayalı bir kapsam sadeleştirmesidir ve proje hedeflerinde daralma yaratmamaktadır.</w:t>
      </w:r>
    </w:p>
    <w:p>
      <w:pPr>
        <w:spacing w:after="120" w:line="276"/>
        <w:jc w:val="both"/>
      </w:pPr>
      <w:r>
        <w:rPr>
          <w:b w:val="false"/>
          <w:bCs w:val="false"/>
          <w:i w:val="false"/>
          <w:iCs w:val="false"/>
          <w:sz w:val="22"/>
          <w:szCs w:val="22"/>
        </w:rPr>
        <w:t xml:space="preserve">İleriye dönük olarak, Bölüm 5–6’da kurulan model ve simülasyon altyapısı, taşıma katmanına gömülen delme bütçelerinin kalibrasyonunda kullanılacak; süzme davranışının çalışma zamanında sınanması ise bir sonraki dönemde ele alınacak açık başlık olarak kayda geçirilmiştir.</w:t>
      </w:r>
    </w:p>
    <w:p>
      <w:r>
        <w:br w:type="page"/>
      </w:r>
    </w:p>
    <w:p>
      <w:pPr>
        <w:pStyle w:val="Heading1"/>
        <w:spacing w:after="160" w:before="320"/>
      </w:pPr>
      <w:r>
        <w:rPr>
          <w:rFonts w:ascii="Calibri" w:cs="Calibri" w:eastAsia="Calibri" w:hAnsi="Calibri"/>
          <w:b/>
          <w:bCs/>
          <w:color w:val="1F3A5F"/>
          <w:sz w:val="28"/>
          <w:szCs w:val="28"/>
        </w:rPr>
        <w:t xml:space="preserve">Ek A — Simülasyon Parametreleri ve Sayısal Çıktılar</w:t>
      </w:r>
    </w:p>
    <w:p>
      <w:pPr>
        <w:spacing w:after="120" w:line="276"/>
        <w:jc w:val="both"/>
      </w:pPr>
      <w:r>
        <w:rPr>
          <w:b w:val="false"/>
          <w:bCs w:val="false"/>
          <w:i w:val="false"/>
          <w:iCs w:val="false"/>
          <w:sz w:val="22"/>
          <w:szCs w:val="22"/>
        </w:rPr>
        <w:t xml:space="preserve">Aşağıdaki değerler, Bölüm 5’teki analitik ifadelerin ve Ek B’deki simülasyon kodunun çıktısıdır; saha ölçümü değildir. Tekrar sayısı hücre başına birkaç bin bağımsız denemedir.</w:t>
      </w:r>
    </w:p>
    <w:p>
      <w:pPr>
        <w:pStyle w:val="Heading2"/>
        <w:spacing w:after="120" w:before="240"/>
      </w:pPr>
      <w:r>
        <w:rPr>
          <w:rFonts w:ascii="Calibri" w:cs="Calibri" w:eastAsia="Calibri" w:hAnsi="Calibri"/>
          <w:b/>
          <w:bCs/>
          <w:color w:val="1F3A5F"/>
          <w:sz w:val="24"/>
          <w:szCs w:val="24"/>
        </w:rPr>
        <w:t xml:space="preserve">A.1. Tek tesadüf — Senaryo B (W = 8000, m = 256)</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2400"/>
        <w:gridCol w:w="3600"/>
        <w:gridCol w:w="3638"/>
      </w:tblGrid>
      <w:tr>
        <w:trPr>
          <w:tblHeader/>
        </w:trPr>
        <w:tc>
          <w:tcPr>
            <w:tcW w:type="dxa" w:w="2400"/>
            <w:shd w:fill="DCE3EC" w:val="clear"/>
            <w:tcMar>
              <w:top w:type="dxa" w:w="70"/>
              <w:left w:type="dxa" w:w="100"/>
              <w:bottom w:type="dxa" w:w="70"/>
              <w:right w:type="dxa" w:w="100"/>
            </w:tcMar>
          </w:tcPr>
          <w:p>
            <w:pPr>
              <w:spacing w:after="0" w:line="240"/>
              <w:jc w:val="center"/>
            </w:pPr>
            <w:r>
              <w:rPr>
                <w:b/>
                <w:bCs/>
                <w:sz w:val="19"/>
                <w:szCs w:val="19"/>
              </w:rPr>
              <w:t xml:space="preserve">Eşzamanlı soket n</w:t>
            </w:r>
          </w:p>
        </w:tc>
        <w:tc>
          <w:tcPr>
            <w:tcW w:type="dxa" w:w="3600"/>
            <w:shd w:fill="DCE3EC" w:val="clear"/>
            <w:tcMar>
              <w:top w:type="dxa" w:w="70"/>
              <w:left w:type="dxa" w:w="100"/>
              <w:bottom w:type="dxa" w:w="70"/>
              <w:right w:type="dxa" w:w="100"/>
            </w:tcMar>
          </w:tcPr>
          <w:p>
            <w:pPr>
              <w:spacing w:after="0" w:line="240"/>
              <w:jc w:val="center"/>
            </w:pPr>
            <w:r>
              <w:rPr>
                <w:b/>
                <w:bCs/>
                <w:sz w:val="19"/>
                <w:szCs w:val="19"/>
              </w:rPr>
              <w:t xml:space="preserve">Analitik P₁</w:t>
            </w:r>
          </w:p>
        </w:tc>
        <w:tc>
          <w:tcPr>
            <w:tcW w:type="dxa" w:w="3638"/>
            <w:shd w:fill="DCE3EC" w:val="clear"/>
            <w:tcMar>
              <w:top w:type="dxa" w:w="70"/>
              <w:left w:type="dxa" w:w="100"/>
              <w:bottom w:type="dxa" w:w="70"/>
              <w:right w:type="dxa" w:w="100"/>
            </w:tcMar>
          </w:tcPr>
          <w:p>
            <w:pPr>
              <w:spacing w:after="0" w:line="240"/>
              <w:jc w:val="center"/>
            </w:pPr>
            <w:r>
              <w:rPr>
                <w:b/>
                <w:bCs/>
                <w:sz w:val="19"/>
                <w:szCs w:val="19"/>
              </w:rPr>
              <w:t xml:space="preserve">Monte Carlo (6000 tekrar)</w:t>
            </w:r>
          </w:p>
        </w:tc>
      </w:tr>
      <w:tr>
        <w:tc>
          <w:tcPr>
            <w:tcW w:type="dxa" w:w="2400"/>
            <w:tcMar>
              <w:top w:type="dxa" w:w="70"/>
              <w:left w:type="dxa" w:w="100"/>
              <w:bottom w:type="dxa" w:w="70"/>
              <w:right w:type="dxa" w:w="100"/>
            </w:tcMar>
          </w:tcPr>
          <w:p>
            <w:pPr>
              <w:spacing w:after="0" w:line="240"/>
              <w:jc w:val="left"/>
            </w:pPr>
            <w:r>
              <w:rPr>
                <w:b/>
                <w:bCs/>
                <w:sz w:val="19"/>
                <w:szCs w:val="19"/>
              </w:rPr>
              <w:t xml:space="preserve">8</w:t>
            </w:r>
          </w:p>
        </w:tc>
        <w:tc>
          <w:tcPr>
            <w:tcW w:type="dxa" w:w="3600"/>
            <w:tcMar>
              <w:top w:type="dxa" w:w="70"/>
              <w:left w:type="dxa" w:w="100"/>
              <w:bottom w:type="dxa" w:w="70"/>
              <w:right w:type="dxa" w:w="100"/>
            </w:tcMar>
          </w:tcPr>
          <w:p>
            <w:pPr>
              <w:spacing w:after="0" w:line="240"/>
              <w:jc w:val="center"/>
            </w:pPr>
            <w:r>
              <w:rPr>
                <w:b w:val="false"/>
                <w:bCs w:val="false"/>
                <w:sz w:val="19"/>
                <w:szCs w:val="19"/>
              </w:rPr>
              <w:t xml:space="preserve">0,229</w:t>
            </w:r>
          </w:p>
        </w:tc>
        <w:tc>
          <w:tcPr>
            <w:tcW w:type="dxa" w:w="3638"/>
            <w:tcMar>
              <w:top w:type="dxa" w:w="70"/>
              <w:left w:type="dxa" w:w="100"/>
              <w:bottom w:type="dxa" w:w="70"/>
              <w:right w:type="dxa" w:w="100"/>
            </w:tcMar>
          </w:tcPr>
          <w:p>
            <w:pPr>
              <w:spacing w:after="0" w:line="240"/>
              <w:jc w:val="center"/>
            </w:pPr>
            <w:r>
              <w:rPr>
                <w:b w:val="false"/>
                <w:bCs w:val="false"/>
                <w:sz w:val="19"/>
                <w:szCs w:val="19"/>
              </w:rPr>
              <w:t xml:space="preserve">0,225</w:t>
            </w:r>
          </w:p>
        </w:tc>
      </w:tr>
      <w:tr>
        <w:tc>
          <w:tcPr>
            <w:tcW w:type="dxa" w:w="2400"/>
            <w:tcMar>
              <w:top w:type="dxa" w:w="70"/>
              <w:left w:type="dxa" w:w="100"/>
              <w:bottom w:type="dxa" w:w="70"/>
              <w:right w:type="dxa" w:w="100"/>
            </w:tcMar>
          </w:tcPr>
          <w:p>
            <w:pPr>
              <w:spacing w:after="0" w:line="240"/>
              <w:jc w:val="left"/>
            </w:pPr>
            <w:r>
              <w:rPr>
                <w:b/>
                <w:bCs/>
                <w:sz w:val="19"/>
                <w:szCs w:val="19"/>
              </w:rPr>
              <w:t xml:space="preserve">16</w:t>
            </w:r>
          </w:p>
        </w:tc>
        <w:tc>
          <w:tcPr>
            <w:tcW w:type="dxa" w:w="3600"/>
            <w:tcMar>
              <w:top w:type="dxa" w:w="70"/>
              <w:left w:type="dxa" w:w="100"/>
              <w:bottom w:type="dxa" w:w="70"/>
              <w:right w:type="dxa" w:w="100"/>
            </w:tcMar>
          </w:tcPr>
          <w:p>
            <w:pPr>
              <w:spacing w:after="0" w:line="240"/>
              <w:jc w:val="center"/>
            </w:pPr>
            <w:r>
              <w:rPr>
                <w:b w:val="false"/>
                <w:bCs w:val="false"/>
                <w:sz w:val="19"/>
                <w:szCs w:val="19"/>
              </w:rPr>
              <w:t xml:space="preserve">0,406</w:t>
            </w:r>
          </w:p>
        </w:tc>
        <w:tc>
          <w:tcPr>
            <w:tcW w:type="dxa" w:w="3638"/>
            <w:tcMar>
              <w:top w:type="dxa" w:w="70"/>
              <w:left w:type="dxa" w:w="100"/>
              <w:bottom w:type="dxa" w:w="70"/>
              <w:right w:type="dxa" w:w="100"/>
            </w:tcMar>
          </w:tcPr>
          <w:p>
            <w:pPr>
              <w:spacing w:after="0" w:line="240"/>
              <w:jc w:val="center"/>
            </w:pPr>
            <w:r>
              <w:rPr>
                <w:b w:val="false"/>
                <w:bCs w:val="false"/>
                <w:sz w:val="19"/>
                <w:szCs w:val="19"/>
              </w:rPr>
              <w:t xml:space="preserve">0,401</w:t>
            </w:r>
          </w:p>
        </w:tc>
      </w:tr>
      <w:tr>
        <w:tc>
          <w:tcPr>
            <w:tcW w:type="dxa" w:w="2400"/>
            <w:tcMar>
              <w:top w:type="dxa" w:w="70"/>
              <w:left w:type="dxa" w:w="100"/>
              <w:bottom w:type="dxa" w:w="70"/>
              <w:right w:type="dxa" w:w="100"/>
            </w:tcMar>
          </w:tcPr>
          <w:p>
            <w:pPr>
              <w:spacing w:after="0" w:line="240"/>
              <w:jc w:val="left"/>
            </w:pPr>
            <w:r>
              <w:rPr>
                <w:b/>
                <w:bCs/>
                <w:sz w:val="19"/>
                <w:szCs w:val="19"/>
              </w:rPr>
              <w:t xml:space="preserve">32</w:t>
            </w:r>
          </w:p>
        </w:tc>
        <w:tc>
          <w:tcPr>
            <w:tcW w:type="dxa" w:w="3600"/>
            <w:tcMar>
              <w:top w:type="dxa" w:w="70"/>
              <w:left w:type="dxa" w:w="100"/>
              <w:bottom w:type="dxa" w:w="70"/>
              <w:right w:type="dxa" w:w="100"/>
            </w:tcMar>
          </w:tcPr>
          <w:p>
            <w:pPr>
              <w:spacing w:after="0" w:line="240"/>
              <w:jc w:val="center"/>
            </w:pPr>
            <w:r>
              <w:rPr>
                <w:b w:val="false"/>
                <w:bCs w:val="false"/>
                <w:sz w:val="19"/>
                <w:szCs w:val="19"/>
              </w:rPr>
              <w:t xml:space="preserve">0,647</w:t>
            </w:r>
          </w:p>
        </w:tc>
        <w:tc>
          <w:tcPr>
            <w:tcW w:type="dxa" w:w="3638"/>
            <w:tcMar>
              <w:top w:type="dxa" w:w="70"/>
              <w:left w:type="dxa" w:w="100"/>
              <w:bottom w:type="dxa" w:w="70"/>
              <w:right w:type="dxa" w:w="100"/>
            </w:tcMar>
          </w:tcPr>
          <w:p>
            <w:pPr>
              <w:spacing w:after="0" w:line="240"/>
              <w:jc w:val="center"/>
            </w:pPr>
            <w:r>
              <w:rPr>
                <w:b w:val="false"/>
                <w:bCs w:val="false"/>
                <w:sz w:val="19"/>
                <w:szCs w:val="19"/>
              </w:rPr>
              <w:t xml:space="preserve">0,644</w:t>
            </w:r>
          </w:p>
        </w:tc>
      </w:tr>
      <w:tr>
        <w:tc>
          <w:tcPr>
            <w:tcW w:type="dxa" w:w="2400"/>
            <w:tcMar>
              <w:top w:type="dxa" w:w="70"/>
              <w:left w:type="dxa" w:w="100"/>
              <w:bottom w:type="dxa" w:w="70"/>
              <w:right w:type="dxa" w:w="100"/>
            </w:tcMar>
          </w:tcPr>
          <w:p>
            <w:pPr>
              <w:spacing w:after="0" w:line="240"/>
              <w:jc w:val="left"/>
            </w:pPr>
            <w:r>
              <w:rPr>
                <w:b/>
                <w:bCs/>
                <w:sz w:val="19"/>
                <w:szCs w:val="19"/>
              </w:rPr>
              <w:t xml:space="preserve">64</w:t>
            </w:r>
          </w:p>
        </w:tc>
        <w:tc>
          <w:tcPr>
            <w:tcW w:type="dxa" w:w="3600"/>
            <w:tcMar>
              <w:top w:type="dxa" w:w="70"/>
              <w:left w:type="dxa" w:w="100"/>
              <w:bottom w:type="dxa" w:w="70"/>
              <w:right w:type="dxa" w:w="100"/>
            </w:tcMar>
          </w:tcPr>
          <w:p>
            <w:pPr>
              <w:spacing w:after="0" w:line="240"/>
              <w:jc w:val="center"/>
            </w:pPr>
            <w:r>
              <w:rPr>
                <w:b w:val="false"/>
                <w:bCs w:val="false"/>
                <w:sz w:val="19"/>
                <w:szCs w:val="19"/>
              </w:rPr>
              <w:t xml:space="preserve">0,875</w:t>
            </w:r>
          </w:p>
        </w:tc>
        <w:tc>
          <w:tcPr>
            <w:tcW w:type="dxa" w:w="3638"/>
            <w:tcMar>
              <w:top w:type="dxa" w:w="70"/>
              <w:left w:type="dxa" w:w="100"/>
              <w:bottom w:type="dxa" w:w="70"/>
              <w:right w:type="dxa" w:w="100"/>
            </w:tcMar>
          </w:tcPr>
          <w:p>
            <w:pPr>
              <w:spacing w:after="0" w:line="240"/>
              <w:jc w:val="center"/>
            </w:pPr>
            <w:r>
              <w:rPr>
                <w:b w:val="false"/>
                <w:bCs w:val="false"/>
                <w:sz w:val="19"/>
                <w:szCs w:val="19"/>
              </w:rPr>
              <w:t xml:space="preserve">0,882</w:t>
            </w:r>
          </w:p>
        </w:tc>
      </w:tr>
      <w:tr>
        <w:tc>
          <w:tcPr>
            <w:tcW w:type="dxa" w:w="2400"/>
            <w:tcMar>
              <w:top w:type="dxa" w:w="70"/>
              <w:left w:type="dxa" w:w="100"/>
              <w:bottom w:type="dxa" w:w="70"/>
              <w:right w:type="dxa" w:w="100"/>
            </w:tcMar>
          </w:tcPr>
          <w:p>
            <w:pPr>
              <w:spacing w:after="0" w:line="240"/>
              <w:jc w:val="left"/>
            </w:pPr>
            <w:r>
              <w:rPr>
                <w:b/>
                <w:bCs/>
                <w:sz w:val="19"/>
                <w:szCs w:val="19"/>
              </w:rPr>
              <w:t xml:space="preserve">128</w:t>
            </w:r>
          </w:p>
        </w:tc>
        <w:tc>
          <w:tcPr>
            <w:tcW w:type="dxa" w:w="3600"/>
            <w:tcMar>
              <w:top w:type="dxa" w:w="70"/>
              <w:left w:type="dxa" w:w="100"/>
              <w:bottom w:type="dxa" w:w="70"/>
              <w:right w:type="dxa" w:w="100"/>
            </w:tcMar>
          </w:tcPr>
          <w:p>
            <w:pPr>
              <w:spacing w:after="0" w:line="240"/>
              <w:jc w:val="center"/>
            </w:pPr>
            <w:r>
              <w:rPr>
                <w:b w:val="false"/>
                <w:bCs w:val="false"/>
                <w:sz w:val="19"/>
                <w:szCs w:val="19"/>
              </w:rPr>
              <w:t xml:space="preserve">0,984</w:t>
            </w:r>
          </w:p>
        </w:tc>
        <w:tc>
          <w:tcPr>
            <w:tcW w:type="dxa" w:w="3638"/>
            <w:tcMar>
              <w:top w:type="dxa" w:w="70"/>
              <w:left w:type="dxa" w:w="100"/>
              <w:bottom w:type="dxa" w:w="70"/>
              <w:right w:type="dxa" w:w="100"/>
            </w:tcMar>
          </w:tcPr>
          <w:p>
            <w:pPr>
              <w:spacing w:after="0" w:line="240"/>
              <w:jc w:val="center"/>
            </w:pPr>
            <w:r>
              <w:rPr>
                <w:b w:val="false"/>
                <w:bCs w:val="false"/>
                <w:sz w:val="19"/>
                <w:szCs w:val="19"/>
              </w:rPr>
              <w:t xml:space="preserve">0,984</w:t>
            </w:r>
          </w:p>
        </w:tc>
      </w:tr>
      <w:tr>
        <w:tc>
          <w:tcPr>
            <w:tcW w:type="dxa" w:w="2400"/>
            <w:tcMar>
              <w:top w:type="dxa" w:w="70"/>
              <w:left w:type="dxa" w:w="100"/>
              <w:bottom w:type="dxa" w:w="70"/>
              <w:right w:type="dxa" w:w="100"/>
            </w:tcMar>
          </w:tcPr>
          <w:p>
            <w:pPr>
              <w:spacing w:after="0" w:line="240"/>
              <w:jc w:val="left"/>
            </w:pPr>
            <w:r>
              <w:rPr>
                <w:b/>
                <w:bCs/>
                <w:sz w:val="19"/>
                <w:szCs w:val="19"/>
              </w:rPr>
              <w:t xml:space="preserve">256</w:t>
            </w:r>
          </w:p>
        </w:tc>
        <w:tc>
          <w:tcPr>
            <w:tcW w:type="dxa" w:w="3600"/>
            <w:tcMar>
              <w:top w:type="dxa" w:w="70"/>
              <w:left w:type="dxa" w:w="100"/>
              <w:bottom w:type="dxa" w:w="70"/>
              <w:right w:type="dxa" w:w="100"/>
            </w:tcMar>
          </w:tcPr>
          <w:p>
            <w:pPr>
              <w:spacing w:after="0" w:line="240"/>
              <w:jc w:val="center"/>
            </w:pPr>
            <w:r>
              <w:rPr>
                <w:b w:val="false"/>
                <w:bCs w:val="false"/>
                <w:sz w:val="19"/>
                <w:szCs w:val="19"/>
              </w:rPr>
              <w:t xml:space="preserve">1,000</w:t>
            </w:r>
          </w:p>
        </w:tc>
        <w:tc>
          <w:tcPr>
            <w:tcW w:type="dxa" w:w="3638"/>
            <w:tcMar>
              <w:top w:type="dxa" w:w="70"/>
              <w:left w:type="dxa" w:w="100"/>
              <w:bottom w:type="dxa" w:w="70"/>
              <w:right w:type="dxa" w:w="100"/>
            </w:tcMar>
          </w:tcPr>
          <w:p>
            <w:pPr>
              <w:spacing w:after="0" w:line="240"/>
              <w:jc w:val="center"/>
            </w:pPr>
            <w:r>
              <w:rPr>
                <w:b w:val="false"/>
                <w:bCs w:val="false"/>
                <w:sz w:val="19"/>
                <w:szCs w:val="19"/>
              </w:rPr>
              <w:t xml:space="preserve">1,000</w:t>
            </w:r>
          </w:p>
        </w:tc>
      </w:tr>
    </w:tbl>
    <w:p>
      <w:pPr>
        <w:spacing w:after="220" w:before="60"/>
        <w:jc w:val="center"/>
      </w:pPr>
      <w:r>
        <w:rPr>
          <w:i/>
          <w:iCs/>
          <w:color w:val="555555"/>
          <w:sz w:val="18"/>
          <w:szCs w:val="18"/>
        </w:rPr>
        <w:t xml:space="preserve">Tablo A.1 — Analitik ifade ile Monte Carlo sonuçlarının örtüşmesi.</w:t>
      </w:r>
    </w:p>
    <w:p>
      <w:pPr>
        <w:pStyle w:val="Heading2"/>
        <w:spacing w:after="120" w:before="240"/>
      </w:pPr>
      <w:r>
        <w:rPr>
          <w:rFonts w:ascii="Calibri" w:cs="Calibri" w:eastAsia="Calibri" w:hAnsi="Calibri"/>
          <w:b/>
          <w:bCs/>
          <w:color w:val="1F3A5F"/>
          <w:sz w:val="24"/>
          <w:szCs w:val="24"/>
        </w:rPr>
        <w:t xml:space="preserve">A.2. Çift tesadüf — Senaryo C (W_A = W_B = 8000)</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2000"/>
        <w:gridCol w:w="2600"/>
        <w:gridCol w:w="2500"/>
        <w:gridCol w:w="2538"/>
      </w:tblGrid>
      <w:tr>
        <w:trPr>
          <w:tblHeader/>
        </w:trPr>
        <w:tc>
          <w:tcPr>
            <w:tcW w:type="dxa" w:w="2000"/>
            <w:shd w:fill="DCE3EC" w:val="clear"/>
            <w:tcMar>
              <w:top w:type="dxa" w:w="70"/>
              <w:left w:type="dxa" w:w="100"/>
              <w:bottom w:type="dxa" w:w="70"/>
              <w:right w:type="dxa" w:w="100"/>
            </w:tcMar>
          </w:tcPr>
          <w:p>
            <w:pPr>
              <w:spacing w:after="0" w:line="240"/>
              <w:jc w:val="center"/>
            </w:pPr>
            <w:r>
              <w:rPr>
                <w:b/>
                <w:bCs/>
                <w:sz w:val="19"/>
                <w:szCs w:val="19"/>
              </w:rPr>
              <w:t xml:space="preserve">Bütçe n = m</w:t>
            </w:r>
          </w:p>
        </w:tc>
        <w:tc>
          <w:tcPr>
            <w:tcW w:type="dxa" w:w="2600"/>
            <w:shd w:fill="DCE3EC" w:val="clear"/>
            <w:tcMar>
              <w:top w:type="dxa" w:w="70"/>
              <w:left w:type="dxa" w:w="100"/>
              <w:bottom w:type="dxa" w:w="70"/>
              <w:right w:type="dxa" w:w="100"/>
            </w:tcMar>
          </w:tcPr>
          <w:p>
            <w:pPr>
              <w:spacing w:after="0" w:line="240"/>
              <w:jc w:val="center"/>
            </w:pPr>
            <w:r>
              <w:rPr>
                <w:b/>
                <w:bCs/>
                <w:sz w:val="19"/>
                <w:szCs w:val="19"/>
              </w:rPr>
              <w:t xml:space="preserve">Çift tesadüf (analitik)</w:t>
            </w:r>
          </w:p>
        </w:tc>
        <w:tc>
          <w:tcPr>
            <w:tcW w:type="dxa" w:w="2500"/>
            <w:shd w:fill="DCE3EC" w:val="clear"/>
            <w:tcMar>
              <w:top w:type="dxa" w:w="70"/>
              <w:left w:type="dxa" w:w="100"/>
              <w:bottom w:type="dxa" w:w="70"/>
              <w:right w:type="dxa" w:w="100"/>
            </w:tcMar>
          </w:tcPr>
          <w:p>
            <w:pPr>
              <w:spacing w:after="0" w:line="240"/>
              <w:jc w:val="center"/>
            </w:pPr>
            <w:r>
              <w:rPr>
                <w:b/>
                <w:bCs/>
                <w:sz w:val="19"/>
                <w:szCs w:val="19"/>
              </w:rPr>
              <w:t xml:space="preserve">Çift tesadüf (MC)</w:t>
            </w:r>
          </w:p>
        </w:tc>
        <w:tc>
          <w:tcPr>
            <w:tcW w:type="dxa" w:w="2538"/>
            <w:shd w:fill="DCE3EC" w:val="clear"/>
            <w:tcMar>
              <w:top w:type="dxa" w:w="70"/>
              <w:left w:type="dxa" w:w="100"/>
              <w:bottom w:type="dxa" w:w="70"/>
              <w:right w:type="dxa" w:w="100"/>
            </w:tcMar>
          </w:tcPr>
          <w:p>
            <w:pPr>
              <w:spacing w:after="0" w:line="240"/>
              <w:jc w:val="center"/>
            </w:pPr>
            <w:r>
              <w:rPr>
                <w:b/>
                <w:bCs/>
                <w:sz w:val="19"/>
                <w:szCs w:val="19"/>
              </w:rPr>
              <w:t xml:space="preserve">Tek tesadüf hâli (MC)</w:t>
            </w:r>
          </w:p>
        </w:tc>
      </w:tr>
      <w:tr>
        <w:tc>
          <w:tcPr>
            <w:tcW w:type="dxa" w:w="2000"/>
            <w:tcMar>
              <w:top w:type="dxa" w:w="70"/>
              <w:left w:type="dxa" w:w="100"/>
              <w:bottom w:type="dxa" w:w="70"/>
              <w:right w:type="dxa" w:w="100"/>
            </w:tcMar>
          </w:tcPr>
          <w:p>
            <w:pPr>
              <w:spacing w:after="0" w:line="240"/>
              <w:jc w:val="left"/>
            </w:pPr>
            <w:r>
              <w:rPr>
                <w:b/>
                <w:bCs/>
                <w:sz w:val="19"/>
                <w:szCs w:val="19"/>
              </w:rPr>
              <w:t xml:space="preserve">128</w:t>
            </w:r>
          </w:p>
        </w:tc>
        <w:tc>
          <w:tcPr>
            <w:tcW w:type="dxa" w:w="2600"/>
            <w:tcMar>
              <w:top w:type="dxa" w:w="70"/>
              <w:left w:type="dxa" w:w="100"/>
              <w:bottom w:type="dxa" w:w="70"/>
              <w:right w:type="dxa" w:w="100"/>
            </w:tcMar>
          </w:tcPr>
          <w:p>
            <w:pPr>
              <w:spacing w:after="0" w:line="240"/>
              <w:jc w:val="center"/>
            </w:pPr>
            <w:r>
              <w:rPr>
                <w:b w:val="false"/>
                <w:bCs w:val="false"/>
                <w:sz w:val="19"/>
                <w:szCs w:val="19"/>
              </w:rPr>
              <w:t xml:space="preserve">0,0003</w:t>
            </w:r>
          </w:p>
        </w:tc>
        <w:tc>
          <w:tcPr>
            <w:tcW w:type="dxa" w:w="2500"/>
            <w:tcMar>
              <w:top w:type="dxa" w:w="70"/>
              <w:left w:type="dxa" w:w="100"/>
              <w:bottom w:type="dxa" w:w="70"/>
              <w:right w:type="dxa" w:w="100"/>
            </w:tcMar>
          </w:tcPr>
          <w:p>
            <w:pPr>
              <w:spacing w:after="0" w:line="240"/>
              <w:jc w:val="center"/>
            </w:pPr>
            <w:r>
              <w:rPr>
                <w:b w:val="false"/>
                <w:bCs w:val="false"/>
                <w:sz w:val="19"/>
                <w:szCs w:val="19"/>
              </w:rPr>
              <w:t xml:space="preserve">0,000</w:t>
            </w:r>
          </w:p>
        </w:tc>
        <w:tc>
          <w:tcPr>
            <w:tcW w:type="dxa" w:w="2538"/>
            <w:tcMar>
              <w:top w:type="dxa" w:w="70"/>
              <w:left w:type="dxa" w:w="100"/>
              <w:bottom w:type="dxa" w:w="70"/>
              <w:right w:type="dxa" w:w="100"/>
            </w:tcMar>
          </w:tcPr>
          <w:p>
            <w:pPr>
              <w:spacing w:after="0" w:line="240"/>
              <w:jc w:val="center"/>
            </w:pPr>
            <w:r>
              <w:rPr>
                <w:b w:val="false"/>
                <w:bCs w:val="false"/>
                <w:sz w:val="19"/>
                <w:szCs w:val="19"/>
              </w:rPr>
              <w:t xml:space="preserve">0,870</w:t>
            </w:r>
          </w:p>
        </w:tc>
      </w:tr>
      <w:tr>
        <w:tc>
          <w:tcPr>
            <w:tcW w:type="dxa" w:w="2000"/>
            <w:tcMar>
              <w:top w:type="dxa" w:w="70"/>
              <w:left w:type="dxa" w:w="100"/>
              <w:bottom w:type="dxa" w:w="70"/>
              <w:right w:type="dxa" w:w="100"/>
            </w:tcMar>
          </w:tcPr>
          <w:p>
            <w:pPr>
              <w:spacing w:after="0" w:line="240"/>
              <w:jc w:val="left"/>
            </w:pPr>
            <w:r>
              <w:rPr>
                <w:b/>
                <w:bCs/>
                <w:sz w:val="19"/>
                <w:szCs w:val="19"/>
              </w:rPr>
              <w:t xml:space="preserve">256</w:t>
            </w:r>
          </w:p>
        </w:tc>
        <w:tc>
          <w:tcPr>
            <w:tcW w:type="dxa" w:w="2600"/>
            <w:tcMar>
              <w:top w:type="dxa" w:w="70"/>
              <w:left w:type="dxa" w:w="100"/>
              <w:bottom w:type="dxa" w:w="70"/>
              <w:right w:type="dxa" w:w="100"/>
            </w:tcMar>
          </w:tcPr>
          <w:p>
            <w:pPr>
              <w:spacing w:after="0" w:line="240"/>
              <w:jc w:val="center"/>
            </w:pPr>
            <w:r>
              <w:rPr>
                <w:b w:val="false"/>
                <w:bCs w:val="false"/>
                <w:sz w:val="19"/>
                <w:szCs w:val="19"/>
              </w:rPr>
              <w:t xml:space="preserve">0,0010</w:t>
            </w:r>
          </w:p>
        </w:tc>
        <w:tc>
          <w:tcPr>
            <w:tcW w:type="dxa" w:w="2500"/>
            <w:tcMar>
              <w:top w:type="dxa" w:w="70"/>
              <w:left w:type="dxa" w:w="100"/>
              <w:bottom w:type="dxa" w:w="70"/>
              <w:right w:type="dxa" w:w="100"/>
            </w:tcMar>
          </w:tcPr>
          <w:p>
            <w:pPr>
              <w:spacing w:after="0" w:line="240"/>
              <w:jc w:val="center"/>
            </w:pPr>
            <w:r>
              <w:rPr>
                <w:b w:val="false"/>
                <w:bCs w:val="false"/>
                <w:sz w:val="19"/>
                <w:szCs w:val="19"/>
              </w:rPr>
              <w:t xml:space="preserve">0,0013</w:t>
            </w:r>
          </w:p>
        </w:tc>
        <w:tc>
          <w:tcPr>
            <w:tcW w:type="dxa" w:w="2538"/>
            <w:tcMar>
              <w:top w:type="dxa" w:w="70"/>
              <w:left w:type="dxa" w:w="100"/>
              <w:bottom w:type="dxa" w:w="70"/>
              <w:right w:type="dxa" w:w="100"/>
            </w:tcMar>
          </w:tcPr>
          <w:p>
            <w:pPr>
              <w:spacing w:after="0" w:line="240"/>
              <w:jc w:val="center"/>
            </w:pPr>
            <w:r>
              <w:rPr>
                <w:b w:val="false"/>
                <w:bCs w:val="false"/>
                <w:sz w:val="19"/>
                <w:szCs w:val="19"/>
              </w:rPr>
              <w:t xml:space="preserve">1,000</w:t>
            </w:r>
          </w:p>
        </w:tc>
      </w:tr>
      <w:tr>
        <w:tc>
          <w:tcPr>
            <w:tcW w:type="dxa" w:w="2000"/>
            <w:tcMar>
              <w:top w:type="dxa" w:w="70"/>
              <w:left w:type="dxa" w:w="100"/>
              <w:bottom w:type="dxa" w:w="70"/>
              <w:right w:type="dxa" w:w="100"/>
            </w:tcMar>
          </w:tcPr>
          <w:p>
            <w:pPr>
              <w:spacing w:after="0" w:line="240"/>
              <w:jc w:val="left"/>
            </w:pPr>
            <w:r>
              <w:rPr>
                <w:b/>
                <w:bCs/>
                <w:sz w:val="19"/>
                <w:szCs w:val="19"/>
              </w:rPr>
              <w:t xml:space="preserve">512</w:t>
            </w:r>
          </w:p>
        </w:tc>
        <w:tc>
          <w:tcPr>
            <w:tcW w:type="dxa" w:w="2600"/>
            <w:tcMar>
              <w:top w:type="dxa" w:w="70"/>
              <w:left w:type="dxa" w:w="100"/>
              <w:bottom w:type="dxa" w:w="70"/>
              <w:right w:type="dxa" w:w="100"/>
            </w:tcMar>
          </w:tcPr>
          <w:p>
            <w:pPr>
              <w:spacing w:after="0" w:line="240"/>
              <w:jc w:val="center"/>
            </w:pPr>
            <w:r>
              <w:rPr>
                <w:b w:val="false"/>
                <w:bCs w:val="false"/>
                <w:sz w:val="19"/>
                <w:szCs w:val="19"/>
              </w:rPr>
              <w:t xml:space="preserve">0,0041</w:t>
            </w:r>
          </w:p>
        </w:tc>
        <w:tc>
          <w:tcPr>
            <w:tcW w:type="dxa" w:w="2500"/>
            <w:tcMar>
              <w:top w:type="dxa" w:w="70"/>
              <w:left w:type="dxa" w:w="100"/>
              <w:bottom w:type="dxa" w:w="70"/>
              <w:right w:type="dxa" w:w="100"/>
            </w:tcMar>
          </w:tcPr>
          <w:p>
            <w:pPr>
              <w:spacing w:after="0" w:line="240"/>
              <w:jc w:val="center"/>
            </w:pPr>
            <w:r>
              <w:rPr>
                <w:b w:val="false"/>
                <w:bCs w:val="false"/>
                <w:sz w:val="19"/>
                <w:szCs w:val="19"/>
              </w:rPr>
              <w:t xml:space="preserve">0,0027</w:t>
            </w:r>
          </w:p>
        </w:tc>
        <w:tc>
          <w:tcPr>
            <w:tcW w:type="dxa" w:w="2538"/>
            <w:tcMar>
              <w:top w:type="dxa" w:w="70"/>
              <w:left w:type="dxa" w:w="100"/>
              <w:bottom w:type="dxa" w:w="70"/>
              <w:right w:type="dxa" w:w="100"/>
            </w:tcMar>
          </w:tcPr>
          <w:p>
            <w:pPr>
              <w:spacing w:after="0" w:line="240"/>
              <w:jc w:val="center"/>
            </w:pPr>
            <w:r>
              <w:rPr>
                <w:b w:val="false"/>
                <w:bCs w:val="false"/>
                <w:sz w:val="19"/>
                <w:szCs w:val="19"/>
              </w:rPr>
              <w:t xml:space="preserve">1,000</w:t>
            </w:r>
          </w:p>
        </w:tc>
      </w:tr>
      <w:tr>
        <w:tc>
          <w:tcPr>
            <w:tcW w:type="dxa" w:w="2000"/>
            <w:tcMar>
              <w:top w:type="dxa" w:w="70"/>
              <w:left w:type="dxa" w:w="100"/>
              <w:bottom w:type="dxa" w:w="70"/>
              <w:right w:type="dxa" w:w="100"/>
            </w:tcMar>
          </w:tcPr>
          <w:p>
            <w:pPr>
              <w:spacing w:after="0" w:line="240"/>
              <w:jc w:val="left"/>
            </w:pPr>
            <w:r>
              <w:rPr>
                <w:b/>
                <w:bCs/>
                <w:sz w:val="19"/>
                <w:szCs w:val="19"/>
              </w:rPr>
              <w:t xml:space="preserve">1024</w:t>
            </w:r>
          </w:p>
        </w:tc>
        <w:tc>
          <w:tcPr>
            <w:tcW w:type="dxa" w:w="2600"/>
            <w:tcMar>
              <w:top w:type="dxa" w:w="70"/>
              <w:left w:type="dxa" w:w="100"/>
              <w:bottom w:type="dxa" w:w="70"/>
              <w:right w:type="dxa" w:w="100"/>
            </w:tcMar>
          </w:tcPr>
          <w:p>
            <w:pPr>
              <w:spacing w:after="0" w:line="240"/>
              <w:jc w:val="center"/>
            </w:pPr>
            <w:r>
              <w:rPr>
                <w:b w:val="false"/>
                <w:bCs w:val="false"/>
                <w:sz w:val="19"/>
                <w:szCs w:val="19"/>
              </w:rPr>
              <w:t xml:space="preserve">0,0163</w:t>
            </w:r>
          </w:p>
        </w:tc>
        <w:tc>
          <w:tcPr>
            <w:tcW w:type="dxa" w:w="2500"/>
            <w:tcMar>
              <w:top w:type="dxa" w:w="70"/>
              <w:left w:type="dxa" w:w="100"/>
              <w:bottom w:type="dxa" w:w="70"/>
              <w:right w:type="dxa" w:w="100"/>
            </w:tcMar>
          </w:tcPr>
          <w:p>
            <w:pPr>
              <w:spacing w:after="0" w:line="240"/>
              <w:jc w:val="center"/>
            </w:pPr>
            <w:r>
              <w:rPr>
                <w:b w:val="false"/>
                <w:bCs w:val="false"/>
                <w:sz w:val="19"/>
                <w:szCs w:val="19"/>
              </w:rPr>
              <w:t xml:space="preserve">0,0187</w:t>
            </w:r>
          </w:p>
        </w:tc>
        <w:tc>
          <w:tcPr>
            <w:tcW w:type="dxa" w:w="2538"/>
            <w:tcMar>
              <w:top w:type="dxa" w:w="70"/>
              <w:left w:type="dxa" w:w="100"/>
              <w:bottom w:type="dxa" w:w="70"/>
              <w:right w:type="dxa" w:w="100"/>
            </w:tcMar>
          </w:tcPr>
          <w:p>
            <w:pPr>
              <w:spacing w:after="0" w:line="240"/>
              <w:jc w:val="center"/>
            </w:pPr>
            <w:r>
              <w:rPr>
                <w:b w:val="false"/>
                <w:bCs w:val="false"/>
                <w:sz w:val="19"/>
                <w:szCs w:val="19"/>
              </w:rPr>
              <w:t xml:space="preserve">1,000</w:t>
            </w:r>
          </w:p>
        </w:tc>
      </w:tr>
      <w:tr>
        <w:tc>
          <w:tcPr>
            <w:tcW w:type="dxa" w:w="2000"/>
            <w:tcMar>
              <w:top w:type="dxa" w:w="70"/>
              <w:left w:type="dxa" w:w="100"/>
              <w:bottom w:type="dxa" w:w="70"/>
              <w:right w:type="dxa" w:w="100"/>
            </w:tcMar>
          </w:tcPr>
          <w:p>
            <w:pPr>
              <w:spacing w:after="0" w:line="240"/>
              <w:jc w:val="left"/>
            </w:pPr>
            <w:r>
              <w:rPr>
                <w:b/>
                <w:bCs/>
                <w:sz w:val="19"/>
                <w:szCs w:val="19"/>
              </w:rPr>
              <w:t xml:space="preserve">2048</w:t>
            </w:r>
          </w:p>
        </w:tc>
        <w:tc>
          <w:tcPr>
            <w:tcW w:type="dxa" w:w="2600"/>
            <w:tcMar>
              <w:top w:type="dxa" w:w="70"/>
              <w:left w:type="dxa" w:w="100"/>
              <w:bottom w:type="dxa" w:w="70"/>
              <w:right w:type="dxa" w:w="100"/>
            </w:tcMar>
          </w:tcPr>
          <w:p>
            <w:pPr>
              <w:spacing w:after="0" w:line="240"/>
              <w:jc w:val="center"/>
            </w:pPr>
            <w:r>
              <w:rPr>
                <w:b w:val="false"/>
                <w:bCs w:val="false"/>
                <w:sz w:val="19"/>
                <w:szCs w:val="19"/>
              </w:rPr>
              <w:t xml:space="preserve">0,0634</w:t>
            </w:r>
          </w:p>
        </w:tc>
        <w:tc>
          <w:tcPr>
            <w:tcW w:type="dxa" w:w="2500"/>
            <w:tcMar>
              <w:top w:type="dxa" w:w="70"/>
              <w:left w:type="dxa" w:w="100"/>
              <w:bottom w:type="dxa" w:w="70"/>
              <w:right w:type="dxa" w:w="100"/>
            </w:tcMar>
          </w:tcPr>
          <w:p>
            <w:pPr>
              <w:spacing w:after="0" w:line="240"/>
              <w:jc w:val="center"/>
            </w:pPr>
            <w:r>
              <w:rPr>
                <w:b w:val="false"/>
                <w:bCs w:val="false"/>
                <w:sz w:val="19"/>
                <w:szCs w:val="19"/>
              </w:rPr>
              <w:t xml:space="preserve">0,0600</w:t>
            </w:r>
          </w:p>
        </w:tc>
        <w:tc>
          <w:tcPr>
            <w:tcW w:type="dxa" w:w="2538"/>
            <w:tcMar>
              <w:top w:type="dxa" w:w="70"/>
              <w:left w:type="dxa" w:w="100"/>
              <w:bottom w:type="dxa" w:w="70"/>
              <w:right w:type="dxa" w:w="100"/>
            </w:tcMar>
          </w:tcPr>
          <w:p>
            <w:pPr>
              <w:spacing w:after="0" w:line="240"/>
              <w:jc w:val="center"/>
            </w:pPr>
            <w:r>
              <w:rPr>
                <w:b w:val="false"/>
                <w:bCs w:val="false"/>
                <w:sz w:val="19"/>
                <w:szCs w:val="19"/>
              </w:rPr>
              <w:t xml:space="preserve">1,000</w:t>
            </w:r>
          </w:p>
        </w:tc>
      </w:tr>
    </w:tbl>
    <w:p>
      <w:pPr>
        <w:spacing w:after="220" w:before="60"/>
        <w:jc w:val="center"/>
      </w:pPr>
      <w:r>
        <w:rPr>
          <w:i/>
          <w:iCs/>
          <w:color w:val="555555"/>
          <w:sz w:val="18"/>
          <w:szCs w:val="18"/>
        </w:rPr>
        <w:t xml:space="preserve">Tablo A.2 — İki tarafta da adres–porta bağımlı süzme varsa başarı, gerçekçi bütçelerde yüzde birler mertebesinde kalır.</w:t>
      </w:r>
    </w:p>
    <w:p>
      <w:pPr>
        <w:pStyle w:val="Heading2"/>
        <w:spacing w:after="120" w:before="240"/>
      </w:pPr>
      <w:r>
        <w:rPr>
          <w:rFonts w:ascii="Calibri" w:cs="Calibri" w:eastAsia="Calibri" w:hAnsi="Calibri"/>
          <w:b/>
          <w:bCs/>
          <w:color w:val="1F3A5F"/>
          <w:sz w:val="24"/>
          <w:szCs w:val="24"/>
        </w:rPr>
        <w:t xml:space="preserve">A.3. Gereken bütçenin pencere genişliğine bağımlılığı (m = 256)</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3200"/>
        <w:gridCol w:w="3200"/>
        <w:gridCol w:w="3238"/>
      </w:tblGrid>
      <w:tr>
        <w:trPr>
          <w:tblHeader/>
        </w:trPr>
        <w:tc>
          <w:tcPr>
            <w:tcW w:type="dxa" w:w="3200"/>
            <w:shd w:fill="DCE3EC" w:val="clear"/>
            <w:tcMar>
              <w:top w:type="dxa" w:w="70"/>
              <w:left w:type="dxa" w:w="100"/>
              <w:bottom w:type="dxa" w:w="70"/>
              <w:right w:type="dxa" w:w="100"/>
            </w:tcMar>
          </w:tcPr>
          <w:p>
            <w:pPr>
              <w:spacing w:after="0" w:line="240"/>
              <w:jc w:val="center"/>
            </w:pPr>
            <w:r>
              <w:rPr>
                <w:b/>
                <w:bCs/>
                <w:sz w:val="19"/>
                <w:szCs w:val="19"/>
              </w:rPr>
              <w:t xml:space="preserve">Pencere W</w:t>
            </w:r>
          </w:p>
        </w:tc>
        <w:tc>
          <w:tcPr>
            <w:tcW w:type="dxa" w:w="3200"/>
            <w:shd w:fill="DCE3EC" w:val="clear"/>
            <w:tcMar>
              <w:top w:type="dxa" w:w="70"/>
              <w:left w:type="dxa" w:w="100"/>
              <w:bottom w:type="dxa" w:w="70"/>
              <w:right w:type="dxa" w:w="100"/>
            </w:tcMar>
          </w:tcPr>
          <w:p>
            <w:pPr>
              <w:spacing w:after="0" w:line="240"/>
              <w:jc w:val="center"/>
            </w:pPr>
            <w:r>
              <w:rPr>
                <w:b/>
                <w:bCs/>
                <w:sz w:val="19"/>
                <w:szCs w:val="19"/>
              </w:rPr>
              <w:t xml:space="preserve">%50 için gereken n</w:t>
            </w:r>
          </w:p>
        </w:tc>
        <w:tc>
          <w:tcPr>
            <w:tcW w:type="dxa" w:w="3238"/>
            <w:shd w:fill="DCE3EC" w:val="clear"/>
            <w:tcMar>
              <w:top w:type="dxa" w:w="70"/>
              <w:left w:type="dxa" w:w="100"/>
              <w:bottom w:type="dxa" w:w="70"/>
              <w:right w:type="dxa" w:w="100"/>
            </w:tcMar>
          </w:tcPr>
          <w:p>
            <w:pPr>
              <w:spacing w:after="0" w:line="240"/>
              <w:jc w:val="center"/>
            </w:pPr>
            <w:r>
              <w:rPr>
                <w:b/>
                <w:bCs/>
                <w:sz w:val="19"/>
                <w:szCs w:val="19"/>
              </w:rPr>
              <w:t xml:space="preserve">%90 için gereken n</w:t>
            </w:r>
          </w:p>
        </w:tc>
      </w:tr>
      <w:tr>
        <w:tc>
          <w:tcPr>
            <w:tcW w:type="dxa" w:w="3200"/>
            <w:tcMar>
              <w:top w:type="dxa" w:w="70"/>
              <w:left w:type="dxa" w:w="100"/>
              <w:bottom w:type="dxa" w:w="70"/>
              <w:right w:type="dxa" w:w="100"/>
            </w:tcMar>
          </w:tcPr>
          <w:p>
            <w:pPr>
              <w:spacing w:after="0" w:line="240"/>
              <w:jc w:val="left"/>
            </w:pPr>
            <w:r>
              <w:rPr>
                <w:b/>
                <w:bCs/>
                <w:sz w:val="19"/>
                <w:szCs w:val="19"/>
              </w:rPr>
              <w:t xml:space="preserve">500</w:t>
            </w:r>
          </w:p>
        </w:tc>
        <w:tc>
          <w:tcPr>
            <w:tcW w:type="dxa" w:w="3200"/>
            <w:tcMar>
              <w:top w:type="dxa" w:w="70"/>
              <w:left w:type="dxa" w:w="100"/>
              <w:bottom w:type="dxa" w:w="70"/>
              <w:right w:type="dxa" w:w="100"/>
            </w:tcMar>
          </w:tcPr>
          <w:p>
            <w:pPr>
              <w:spacing w:after="0" w:line="240"/>
              <w:jc w:val="center"/>
            </w:pPr>
            <w:r>
              <w:rPr>
                <w:b w:val="false"/>
                <w:bCs w:val="false"/>
                <w:sz w:val="19"/>
                <w:szCs w:val="19"/>
              </w:rPr>
              <w:t xml:space="preserve">1</w:t>
            </w:r>
          </w:p>
        </w:tc>
        <w:tc>
          <w:tcPr>
            <w:tcW w:type="dxa" w:w="3238"/>
            <w:tcMar>
              <w:top w:type="dxa" w:w="70"/>
              <w:left w:type="dxa" w:w="100"/>
              <w:bottom w:type="dxa" w:w="70"/>
              <w:right w:type="dxa" w:w="100"/>
            </w:tcMar>
          </w:tcPr>
          <w:p>
            <w:pPr>
              <w:spacing w:after="0" w:line="240"/>
              <w:jc w:val="center"/>
            </w:pPr>
            <w:r>
              <w:rPr>
                <w:b w:val="false"/>
                <w:bCs w:val="false"/>
                <w:sz w:val="19"/>
                <w:szCs w:val="19"/>
              </w:rPr>
              <w:t xml:space="preserve">3</w:t>
            </w:r>
          </w:p>
        </w:tc>
      </w:tr>
      <w:tr>
        <w:tc>
          <w:tcPr>
            <w:tcW w:type="dxa" w:w="3200"/>
            <w:tcMar>
              <w:top w:type="dxa" w:w="70"/>
              <w:left w:type="dxa" w:w="100"/>
              <w:bottom w:type="dxa" w:w="70"/>
              <w:right w:type="dxa" w:w="100"/>
            </w:tcMar>
          </w:tcPr>
          <w:p>
            <w:pPr>
              <w:spacing w:after="0" w:line="240"/>
              <w:jc w:val="left"/>
            </w:pPr>
            <w:r>
              <w:rPr>
                <w:b/>
                <w:bCs/>
                <w:sz w:val="19"/>
                <w:szCs w:val="19"/>
              </w:rPr>
              <w:t xml:space="preserve">2000</w:t>
            </w:r>
          </w:p>
        </w:tc>
        <w:tc>
          <w:tcPr>
            <w:tcW w:type="dxa" w:w="3200"/>
            <w:tcMar>
              <w:top w:type="dxa" w:w="70"/>
              <w:left w:type="dxa" w:w="100"/>
              <w:bottom w:type="dxa" w:w="70"/>
              <w:right w:type="dxa" w:w="100"/>
            </w:tcMar>
          </w:tcPr>
          <w:p>
            <w:pPr>
              <w:spacing w:after="0" w:line="240"/>
              <w:jc w:val="center"/>
            </w:pPr>
            <w:r>
              <w:rPr>
                <w:b w:val="false"/>
                <w:bCs w:val="false"/>
                <w:sz w:val="19"/>
                <w:szCs w:val="19"/>
              </w:rPr>
              <w:t xml:space="preserve">5</w:t>
            </w:r>
          </w:p>
        </w:tc>
        <w:tc>
          <w:tcPr>
            <w:tcW w:type="dxa" w:w="3238"/>
            <w:tcMar>
              <w:top w:type="dxa" w:w="70"/>
              <w:left w:type="dxa" w:w="100"/>
              <w:bottom w:type="dxa" w:w="70"/>
              <w:right w:type="dxa" w:w="100"/>
            </w:tcMar>
          </w:tcPr>
          <w:p>
            <w:pPr>
              <w:spacing w:after="0" w:line="240"/>
              <w:jc w:val="center"/>
            </w:pPr>
            <w:r>
              <w:rPr>
                <w:b w:val="false"/>
                <w:bCs w:val="false"/>
                <w:sz w:val="19"/>
                <w:szCs w:val="19"/>
              </w:rPr>
              <w:t xml:space="preserve">17</w:t>
            </w:r>
          </w:p>
        </w:tc>
      </w:tr>
      <w:tr>
        <w:tc>
          <w:tcPr>
            <w:tcW w:type="dxa" w:w="3200"/>
            <w:tcMar>
              <w:top w:type="dxa" w:w="70"/>
              <w:left w:type="dxa" w:w="100"/>
              <w:bottom w:type="dxa" w:w="70"/>
              <w:right w:type="dxa" w:w="100"/>
            </w:tcMar>
          </w:tcPr>
          <w:p>
            <w:pPr>
              <w:spacing w:after="0" w:line="240"/>
              <w:jc w:val="left"/>
            </w:pPr>
            <w:r>
              <w:rPr>
                <w:b/>
                <w:bCs/>
                <w:sz w:val="19"/>
                <w:szCs w:val="19"/>
              </w:rPr>
              <w:t xml:space="preserve">8000</w:t>
            </w:r>
          </w:p>
        </w:tc>
        <w:tc>
          <w:tcPr>
            <w:tcW w:type="dxa" w:w="3200"/>
            <w:tcMar>
              <w:top w:type="dxa" w:w="70"/>
              <w:left w:type="dxa" w:w="100"/>
              <w:bottom w:type="dxa" w:w="70"/>
              <w:right w:type="dxa" w:w="100"/>
            </w:tcMar>
          </w:tcPr>
          <w:p>
            <w:pPr>
              <w:spacing w:after="0" w:line="240"/>
              <w:jc w:val="center"/>
            </w:pPr>
            <w:r>
              <w:rPr>
                <w:b w:val="false"/>
                <w:bCs w:val="false"/>
                <w:sz w:val="19"/>
                <w:szCs w:val="19"/>
              </w:rPr>
              <w:t xml:space="preserve">21</w:t>
            </w:r>
          </w:p>
        </w:tc>
        <w:tc>
          <w:tcPr>
            <w:tcW w:type="dxa" w:w="3238"/>
            <w:tcMar>
              <w:top w:type="dxa" w:w="70"/>
              <w:left w:type="dxa" w:w="100"/>
              <w:bottom w:type="dxa" w:w="70"/>
              <w:right w:type="dxa" w:w="100"/>
            </w:tcMar>
          </w:tcPr>
          <w:p>
            <w:pPr>
              <w:spacing w:after="0" w:line="240"/>
              <w:jc w:val="center"/>
            </w:pPr>
            <w:r>
              <w:rPr>
                <w:b w:val="false"/>
                <w:bCs w:val="false"/>
                <w:sz w:val="19"/>
                <w:szCs w:val="19"/>
              </w:rPr>
              <w:t xml:space="preserve">71</w:t>
            </w:r>
          </w:p>
        </w:tc>
      </w:tr>
      <w:tr>
        <w:tc>
          <w:tcPr>
            <w:tcW w:type="dxa" w:w="3200"/>
            <w:tcMar>
              <w:top w:type="dxa" w:w="70"/>
              <w:left w:type="dxa" w:w="100"/>
              <w:bottom w:type="dxa" w:w="70"/>
              <w:right w:type="dxa" w:w="100"/>
            </w:tcMar>
          </w:tcPr>
          <w:p>
            <w:pPr>
              <w:spacing w:after="0" w:line="240"/>
              <w:jc w:val="left"/>
            </w:pPr>
            <w:r>
              <w:rPr>
                <w:b/>
                <w:bCs/>
                <w:sz w:val="19"/>
                <w:szCs w:val="19"/>
              </w:rPr>
              <w:t xml:space="preserve">15000</w:t>
            </w:r>
          </w:p>
        </w:tc>
        <w:tc>
          <w:tcPr>
            <w:tcW w:type="dxa" w:w="3200"/>
            <w:tcMar>
              <w:top w:type="dxa" w:w="70"/>
              <w:left w:type="dxa" w:w="100"/>
              <w:bottom w:type="dxa" w:w="70"/>
              <w:right w:type="dxa" w:w="100"/>
            </w:tcMar>
          </w:tcPr>
          <w:p>
            <w:pPr>
              <w:spacing w:after="0" w:line="240"/>
              <w:jc w:val="center"/>
            </w:pPr>
            <w:r>
              <w:rPr>
                <w:b w:val="false"/>
                <w:bCs w:val="false"/>
                <w:sz w:val="19"/>
                <w:szCs w:val="19"/>
              </w:rPr>
              <w:t xml:space="preserve">40</w:t>
            </w:r>
          </w:p>
        </w:tc>
        <w:tc>
          <w:tcPr>
            <w:tcW w:type="dxa" w:w="3238"/>
            <w:tcMar>
              <w:top w:type="dxa" w:w="70"/>
              <w:left w:type="dxa" w:w="100"/>
              <w:bottom w:type="dxa" w:w="70"/>
              <w:right w:type="dxa" w:w="100"/>
            </w:tcMar>
          </w:tcPr>
          <w:p>
            <w:pPr>
              <w:spacing w:after="0" w:line="240"/>
              <w:jc w:val="center"/>
            </w:pPr>
            <w:r>
              <w:rPr>
                <w:b w:val="false"/>
                <w:bCs w:val="false"/>
                <w:sz w:val="19"/>
                <w:szCs w:val="19"/>
              </w:rPr>
              <w:t xml:space="preserve">134</w:t>
            </w:r>
          </w:p>
        </w:tc>
      </w:tr>
      <w:tr>
        <w:tc>
          <w:tcPr>
            <w:tcW w:type="dxa" w:w="3200"/>
            <w:tcMar>
              <w:top w:type="dxa" w:w="70"/>
              <w:left w:type="dxa" w:w="100"/>
              <w:bottom w:type="dxa" w:w="70"/>
              <w:right w:type="dxa" w:w="100"/>
            </w:tcMar>
          </w:tcPr>
          <w:p>
            <w:pPr>
              <w:spacing w:after="0" w:line="240"/>
              <w:jc w:val="left"/>
            </w:pPr>
            <w:r>
              <w:rPr>
                <w:b/>
                <w:bCs/>
                <w:sz w:val="19"/>
                <w:szCs w:val="19"/>
              </w:rPr>
              <w:t xml:space="preserve">30000</w:t>
            </w:r>
          </w:p>
        </w:tc>
        <w:tc>
          <w:tcPr>
            <w:tcW w:type="dxa" w:w="3200"/>
            <w:tcMar>
              <w:top w:type="dxa" w:w="70"/>
              <w:left w:type="dxa" w:w="100"/>
              <w:bottom w:type="dxa" w:w="70"/>
              <w:right w:type="dxa" w:w="100"/>
            </w:tcMar>
          </w:tcPr>
          <w:p>
            <w:pPr>
              <w:spacing w:after="0" w:line="240"/>
              <w:jc w:val="center"/>
            </w:pPr>
            <w:r>
              <w:rPr>
                <w:b w:val="false"/>
                <w:bCs w:val="false"/>
                <w:sz w:val="19"/>
                <w:szCs w:val="19"/>
              </w:rPr>
              <w:t xml:space="preserve">81</w:t>
            </w:r>
          </w:p>
        </w:tc>
        <w:tc>
          <w:tcPr>
            <w:tcW w:type="dxa" w:w="3238"/>
            <w:tcMar>
              <w:top w:type="dxa" w:w="70"/>
              <w:left w:type="dxa" w:w="100"/>
              <w:bottom w:type="dxa" w:w="70"/>
              <w:right w:type="dxa" w:w="100"/>
            </w:tcMar>
          </w:tcPr>
          <w:p>
            <w:pPr>
              <w:spacing w:after="0" w:line="240"/>
              <w:jc w:val="center"/>
            </w:pPr>
            <w:r>
              <w:rPr>
                <w:b w:val="false"/>
                <w:bCs w:val="false"/>
                <w:sz w:val="19"/>
                <w:szCs w:val="19"/>
              </w:rPr>
              <w:t xml:space="preserve">269</w:t>
            </w:r>
          </w:p>
        </w:tc>
      </w:tr>
      <w:tr>
        <w:tc>
          <w:tcPr>
            <w:tcW w:type="dxa" w:w="3200"/>
            <w:tcMar>
              <w:top w:type="dxa" w:w="70"/>
              <w:left w:type="dxa" w:w="100"/>
              <w:bottom w:type="dxa" w:w="70"/>
              <w:right w:type="dxa" w:w="100"/>
            </w:tcMar>
          </w:tcPr>
          <w:p>
            <w:pPr>
              <w:spacing w:after="0" w:line="240"/>
              <w:jc w:val="left"/>
            </w:pPr>
            <w:r>
              <w:rPr>
                <w:b/>
                <w:bCs/>
                <w:sz w:val="19"/>
                <w:szCs w:val="19"/>
              </w:rPr>
              <w:t xml:space="preserve">65536 (profillenmemiş)</w:t>
            </w:r>
          </w:p>
        </w:tc>
        <w:tc>
          <w:tcPr>
            <w:tcW w:type="dxa" w:w="3200"/>
            <w:tcMar>
              <w:top w:type="dxa" w:w="70"/>
              <w:left w:type="dxa" w:w="100"/>
              <w:bottom w:type="dxa" w:w="70"/>
              <w:right w:type="dxa" w:w="100"/>
            </w:tcMar>
          </w:tcPr>
          <w:p>
            <w:pPr>
              <w:spacing w:after="0" w:line="240"/>
              <w:jc w:val="center"/>
            </w:pPr>
            <w:r>
              <w:rPr>
                <w:b w:val="false"/>
                <w:bCs w:val="false"/>
                <w:sz w:val="19"/>
                <w:szCs w:val="19"/>
              </w:rPr>
              <w:t xml:space="preserve">177</w:t>
            </w:r>
          </w:p>
        </w:tc>
        <w:tc>
          <w:tcPr>
            <w:tcW w:type="dxa" w:w="3238"/>
            <w:tcMar>
              <w:top w:type="dxa" w:w="70"/>
              <w:left w:type="dxa" w:w="100"/>
              <w:bottom w:type="dxa" w:w="70"/>
              <w:right w:type="dxa" w:w="100"/>
            </w:tcMar>
          </w:tcPr>
          <w:p>
            <w:pPr>
              <w:spacing w:after="0" w:line="240"/>
              <w:jc w:val="center"/>
            </w:pPr>
            <w:r>
              <w:rPr>
                <w:b w:val="false"/>
                <w:bCs w:val="false"/>
                <w:sz w:val="19"/>
                <w:szCs w:val="19"/>
              </w:rPr>
              <w:t xml:space="preserve">588</w:t>
            </w:r>
          </w:p>
        </w:tc>
      </w:tr>
    </w:tbl>
    <w:p>
      <w:pPr>
        <w:spacing w:after="220" w:before="60"/>
        <w:jc w:val="center"/>
      </w:pPr>
      <w:r>
        <w:rPr>
          <w:i/>
          <w:iCs/>
          <w:color w:val="555555"/>
          <w:sz w:val="18"/>
          <w:szCs w:val="18"/>
        </w:rPr>
        <w:t xml:space="preserve">Tablo A.3 — Profillemenin bütçe kazancı.</w:t>
      </w:r>
    </w:p>
    <w:p>
      <w:pPr>
        <w:pStyle w:val="Heading2"/>
        <w:spacing w:after="120" w:before="240"/>
      </w:pPr>
      <w:r>
        <w:rPr>
          <w:rFonts w:ascii="Calibri" w:cs="Calibri" w:eastAsia="Calibri" w:hAnsi="Calibri"/>
          <w:b/>
          <w:bCs/>
          <w:color w:val="1F3A5F"/>
          <w:sz w:val="24"/>
          <w:szCs w:val="24"/>
        </w:rPr>
        <w:t xml:space="preserve">A.4. Profil isabet oranının etkisi (W = 8000, m = 256)</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2400"/>
        <w:gridCol w:w="1800"/>
        <w:gridCol w:w="1800"/>
        <w:gridCol w:w="1800"/>
        <w:gridCol w:w="1838"/>
      </w:tblGrid>
      <w:tr>
        <w:trPr>
          <w:tblHeader/>
        </w:trPr>
        <w:tc>
          <w:tcPr>
            <w:tcW w:type="dxa" w:w="2400"/>
            <w:shd w:fill="DCE3EC" w:val="clear"/>
            <w:tcMar>
              <w:top w:type="dxa" w:w="70"/>
              <w:left w:type="dxa" w:w="100"/>
              <w:bottom w:type="dxa" w:w="70"/>
              <w:right w:type="dxa" w:w="100"/>
            </w:tcMar>
          </w:tcPr>
          <w:p>
            <w:pPr>
              <w:spacing w:after="0" w:line="240"/>
              <w:jc w:val="center"/>
            </w:pPr>
            <w:r>
              <w:rPr>
                <w:b/>
                <w:bCs/>
                <w:sz w:val="19"/>
                <w:szCs w:val="19"/>
              </w:rPr>
              <w:t xml:space="preserve">ρ</w:t>
            </w:r>
          </w:p>
        </w:tc>
        <w:tc>
          <w:tcPr>
            <w:tcW w:type="dxa" w:w="1800"/>
            <w:shd w:fill="DCE3EC" w:val="clear"/>
            <w:tcMar>
              <w:top w:type="dxa" w:w="70"/>
              <w:left w:type="dxa" w:w="100"/>
              <w:bottom w:type="dxa" w:w="70"/>
              <w:right w:type="dxa" w:w="100"/>
            </w:tcMar>
          </w:tcPr>
          <w:p>
            <w:pPr>
              <w:spacing w:after="0" w:line="240"/>
              <w:jc w:val="center"/>
            </w:pPr>
            <w:r>
              <w:rPr>
                <w:b/>
                <w:bCs/>
                <w:sz w:val="19"/>
                <w:szCs w:val="19"/>
              </w:rPr>
              <w:t xml:space="preserve">n = 64</w:t>
            </w:r>
          </w:p>
        </w:tc>
        <w:tc>
          <w:tcPr>
            <w:tcW w:type="dxa" w:w="1800"/>
            <w:shd w:fill="DCE3EC" w:val="clear"/>
            <w:tcMar>
              <w:top w:type="dxa" w:w="70"/>
              <w:left w:type="dxa" w:w="100"/>
              <w:bottom w:type="dxa" w:w="70"/>
              <w:right w:type="dxa" w:w="100"/>
            </w:tcMar>
          </w:tcPr>
          <w:p>
            <w:pPr>
              <w:spacing w:after="0" w:line="240"/>
              <w:jc w:val="center"/>
            </w:pPr>
            <w:r>
              <w:rPr>
                <w:b/>
                <w:bCs/>
                <w:sz w:val="19"/>
                <w:szCs w:val="19"/>
              </w:rPr>
              <w:t xml:space="preserve">n = 128</w:t>
            </w:r>
          </w:p>
        </w:tc>
        <w:tc>
          <w:tcPr>
            <w:tcW w:type="dxa" w:w="1800"/>
            <w:shd w:fill="DCE3EC" w:val="clear"/>
            <w:tcMar>
              <w:top w:type="dxa" w:w="70"/>
              <w:left w:type="dxa" w:w="100"/>
              <w:bottom w:type="dxa" w:w="70"/>
              <w:right w:type="dxa" w:w="100"/>
            </w:tcMar>
          </w:tcPr>
          <w:p>
            <w:pPr>
              <w:spacing w:after="0" w:line="240"/>
              <w:jc w:val="center"/>
            </w:pPr>
            <w:r>
              <w:rPr>
                <w:b/>
                <w:bCs/>
                <w:sz w:val="19"/>
                <w:szCs w:val="19"/>
              </w:rPr>
              <w:t xml:space="preserve">n = 256</w:t>
            </w:r>
          </w:p>
        </w:tc>
        <w:tc>
          <w:tcPr>
            <w:tcW w:type="dxa" w:w="1838"/>
            <w:shd w:fill="DCE3EC" w:val="clear"/>
            <w:tcMar>
              <w:top w:type="dxa" w:w="70"/>
              <w:left w:type="dxa" w:w="100"/>
              <w:bottom w:type="dxa" w:w="70"/>
              <w:right w:type="dxa" w:w="100"/>
            </w:tcMar>
          </w:tcPr>
          <w:p>
            <w:pPr>
              <w:spacing w:after="0" w:line="240"/>
              <w:jc w:val="center"/>
            </w:pPr>
            <w:r>
              <w:rPr>
                <w:b/>
                <w:bCs/>
                <w:sz w:val="19"/>
                <w:szCs w:val="19"/>
              </w:rPr>
              <w:t xml:space="preserve">n = 512</w:t>
            </w:r>
          </w:p>
        </w:tc>
      </w:tr>
      <w:tr>
        <w:tc>
          <w:tcPr>
            <w:tcW w:type="dxa" w:w="2400"/>
            <w:tcMar>
              <w:top w:type="dxa" w:w="70"/>
              <w:left w:type="dxa" w:w="100"/>
              <w:bottom w:type="dxa" w:w="70"/>
              <w:right w:type="dxa" w:w="100"/>
            </w:tcMar>
          </w:tcPr>
          <w:p>
            <w:pPr>
              <w:spacing w:after="0" w:line="240"/>
              <w:jc w:val="left"/>
            </w:pPr>
            <w:r>
              <w:rPr>
                <w:b/>
                <w:bCs/>
                <w:sz w:val="19"/>
                <w:szCs w:val="19"/>
              </w:rPr>
              <w:t xml:space="preserve">1,00</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0,875</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0,984</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1,000</w:t>
            </w:r>
          </w:p>
        </w:tc>
        <w:tc>
          <w:tcPr>
            <w:tcW w:type="dxa" w:w="1838"/>
            <w:tcMar>
              <w:top w:type="dxa" w:w="70"/>
              <w:left w:type="dxa" w:w="100"/>
              <w:bottom w:type="dxa" w:w="70"/>
              <w:right w:type="dxa" w:w="100"/>
            </w:tcMar>
          </w:tcPr>
          <w:p>
            <w:pPr>
              <w:spacing w:after="0" w:line="240"/>
              <w:jc w:val="center"/>
            </w:pPr>
            <w:r>
              <w:rPr>
                <w:b w:val="false"/>
                <w:bCs w:val="false"/>
                <w:sz w:val="19"/>
                <w:szCs w:val="19"/>
              </w:rPr>
              <w:t xml:space="preserve">1,000</w:t>
            </w:r>
          </w:p>
        </w:tc>
      </w:tr>
      <w:tr>
        <w:tc>
          <w:tcPr>
            <w:tcW w:type="dxa" w:w="2400"/>
            <w:tcMar>
              <w:top w:type="dxa" w:w="70"/>
              <w:left w:type="dxa" w:w="100"/>
              <w:bottom w:type="dxa" w:w="70"/>
              <w:right w:type="dxa" w:w="100"/>
            </w:tcMar>
          </w:tcPr>
          <w:p>
            <w:pPr>
              <w:spacing w:after="0" w:line="240"/>
              <w:jc w:val="left"/>
            </w:pPr>
            <w:r>
              <w:rPr>
                <w:b/>
                <w:bCs/>
                <w:sz w:val="19"/>
                <w:szCs w:val="19"/>
              </w:rPr>
              <w:t xml:space="preserve">0,60</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0,711</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0,916</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0,993</w:t>
            </w:r>
          </w:p>
        </w:tc>
        <w:tc>
          <w:tcPr>
            <w:tcW w:type="dxa" w:w="1838"/>
            <w:tcMar>
              <w:top w:type="dxa" w:w="70"/>
              <w:left w:type="dxa" w:w="100"/>
              <w:bottom w:type="dxa" w:w="70"/>
              <w:right w:type="dxa" w:w="100"/>
            </w:tcMar>
          </w:tcPr>
          <w:p>
            <w:pPr>
              <w:spacing w:after="0" w:line="240"/>
              <w:jc w:val="center"/>
            </w:pPr>
            <w:r>
              <w:rPr>
                <w:b w:val="false"/>
                <w:bCs w:val="false"/>
                <w:sz w:val="19"/>
                <w:szCs w:val="19"/>
              </w:rPr>
              <w:t xml:space="preserve">1,000</w:t>
            </w:r>
          </w:p>
        </w:tc>
      </w:tr>
      <w:tr>
        <w:tc>
          <w:tcPr>
            <w:tcW w:type="dxa" w:w="2400"/>
            <w:tcMar>
              <w:top w:type="dxa" w:w="70"/>
              <w:left w:type="dxa" w:w="100"/>
              <w:bottom w:type="dxa" w:w="70"/>
              <w:right w:type="dxa" w:w="100"/>
            </w:tcMar>
          </w:tcPr>
          <w:p>
            <w:pPr>
              <w:spacing w:after="0" w:line="240"/>
              <w:jc w:val="left"/>
            </w:pPr>
            <w:r>
              <w:rPr>
                <w:b/>
                <w:bCs/>
                <w:sz w:val="19"/>
                <w:szCs w:val="19"/>
              </w:rPr>
              <w:t xml:space="preserve">0,30</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0,461</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0,709</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0,915</w:t>
            </w:r>
          </w:p>
        </w:tc>
        <w:tc>
          <w:tcPr>
            <w:tcW w:type="dxa" w:w="1838"/>
            <w:tcMar>
              <w:top w:type="dxa" w:w="70"/>
              <w:left w:type="dxa" w:w="100"/>
              <w:bottom w:type="dxa" w:w="70"/>
              <w:right w:type="dxa" w:w="100"/>
            </w:tcMar>
          </w:tcPr>
          <w:p>
            <w:pPr>
              <w:spacing w:after="0" w:line="240"/>
              <w:jc w:val="center"/>
            </w:pPr>
            <w:r>
              <w:rPr>
                <w:b w:val="false"/>
                <w:bCs w:val="false"/>
                <w:sz w:val="19"/>
                <w:szCs w:val="19"/>
              </w:rPr>
              <w:t xml:space="preserve">0,993</w:t>
            </w:r>
          </w:p>
        </w:tc>
      </w:tr>
      <w:tr>
        <w:tc>
          <w:tcPr>
            <w:tcW w:type="dxa" w:w="2400"/>
            <w:tcMar>
              <w:top w:type="dxa" w:w="70"/>
              <w:left w:type="dxa" w:w="100"/>
              <w:bottom w:type="dxa" w:w="70"/>
              <w:right w:type="dxa" w:w="100"/>
            </w:tcMar>
          </w:tcPr>
          <w:p>
            <w:pPr>
              <w:spacing w:after="0" w:line="240"/>
              <w:jc w:val="left"/>
            </w:pPr>
            <w:r>
              <w:rPr>
                <w:b/>
                <w:bCs/>
                <w:sz w:val="19"/>
                <w:szCs w:val="19"/>
              </w:rPr>
              <w:t xml:space="preserve">0,15</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0,265</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0,460</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0,708</w:t>
            </w:r>
          </w:p>
        </w:tc>
        <w:tc>
          <w:tcPr>
            <w:tcW w:type="dxa" w:w="1838"/>
            <w:tcMar>
              <w:top w:type="dxa" w:w="70"/>
              <w:left w:type="dxa" w:w="100"/>
              <w:bottom w:type="dxa" w:w="70"/>
              <w:right w:type="dxa" w:w="100"/>
            </w:tcMar>
          </w:tcPr>
          <w:p>
            <w:pPr>
              <w:spacing w:after="0" w:line="240"/>
              <w:jc w:val="center"/>
            </w:pPr>
            <w:r>
              <w:rPr>
                <w:b w:val="false"/>
                <w:bCs w:val="false"/>
                <w:sz w:val="19"/>
                <w:szCs w:val="19"/>
              </w:rPr>
              <w:t xml:space="preserve">0,915</w:t>
            </w:r>
          </w:p>
        </w:tc>
      </w:tr>
      <w:tr>
        <w:tc>
          <w:tcPr>
            <w:tcW w:type="dxa" w:w="2400"/>
            <w:tcMar>
              <w:top w:type="dxa" w:w="70"/>
              <w:left w:type="dxa" w:w="100"/>
              <w:bottom w:type="dxa" w:w="70"/>
              <w:right w:type="dxa" w:w="100"/>
            </w:tcMar>
          </w:tcPr>
          <w:p>
            <w:pPr>
              <w:spacing w:after="0" w:line="240"/>
              <w:jc w:val="left"/>
            </w:pPr>
            <w:r>
              <w:rPr>
                <w:b/>
                <w:bCs/>
                <w:sz w:val="19"/>
                <w:szCs w:val="19"/>
              </w:rPr>
              <w:t xml:space="preserve">0,05</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0,097</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0,185</w:t>
            </w:r>
          </w:p>
        </w:tc>
        <w:tc>
          <w:tcPr>
            <w:tcW w:type="dxa" w:w="1800"/>
            <w:tcMar>
              <w:top w:type="dxa" w:w="70"/>
              <w:left w:type="dxa" w:w="100"/>
              <w:bottom w:type="dxa" w:w="70"/>
              <w:right w:type="dxa" w:w="100"/>
            </w:tcMar>
          </w:tcPr>
          <w:p>
            <w:pPr>
              <w:spacing w:after="0" w:line="240"/>
              <w:jc w:val="center"/>
            </w:pPr>
            <w:r>
              <w:rPr>
                <w:b w:val="false"/>
                <w:bCs w:val="false"/>
                <w:sz w:val="19"/>
                <w:szCs w:val="19"/>
              </w:rPr>
              <w:t xml:space="preserve">0,336</w:t>
            </w:r>
          </w:p>
        </w:tc>
        <w:tc>
          <w:tcPr>
            <w:tcW w:type="dxa" w:w="1838"/>
            <w:tcMar>
              <w:top w:type="dxa" w:w="70"/>
              <w:left w:type="dxa" w:w="100"/>
              <w:bottom w:type="dxa" w:w="70"/>
              <w:right w:type="dxa" w:w="100"/>
            </w:tcMar>
          </w:tcPr>
          <w:p>
            <w:pPr>
              <w:spacing w:after="0" w:line="240"/>
              <w:jc w:val="center"/>
            </w:pPr>
            <w:r>
              <w:rPr>
                <w:b w:val="false"/>
                <w:bCs w:val="false"/>
                <w:sz w:val="19"/>
                <w:szCs w:val="19"/>
              </w:rPr>
              <w:t xml:space="preserve">0,560</w:t>
            </w:r>
          </w:p>
        </w:tc>
      </w:tr>
    </w:tbl>
    <w:p>
      <w:pPr>
        <w:spacing w:after="220" w:before="60"/>
        <w:jc w:val="center"/>
      </w:pPr>
      <w:r>
        <w:rPr>
          <w:i/>
          <w:iCs/>
          <w:color w:val="555555"/>
          <w:sz w:val="18"/>
          <w:szCs w:val="18"/>
        </w:rPr>
        <w:t xml:space="preserve">Tablo A.4 — Profil kalitesi düştükçe bütçe artışı kaybı telafi edememektedir.</w:t>
      </w:r>
    </w:p>
    <w:p>
      <w:pPr>
        <w:pStyle w:val="Heading1"/>
        <w:spacing w:after="160" w:before="320"/>
      </w:pPr>
      <w:r>
        <w:rPr>
          <w:rFonts w:ascii="Calibri" w:cs="Calibri" w:eastAsia="Calibri" w:hAnsi="Calibri"/>
          <w:b/>
          <w:bCs/>
          <w:color w:val="1F3A5F"/>
          <w:sz w:val="28"/>
          <w:szCs w:val="28"/>
        </w:rPr>
        <w:t xml:space="preserve">Ek B — Simülasyonun Çekirdek Kodu</w:t>
      </w:r>
    </w:p>
    <w:p>
      <w:pPr>
        <w:spacing w:after="120" w:line="276"/>
        <w:jc w:val="both"/>
      </w:pPr>
      <w:r>
        <w:rPr>
          <w:b w:val="false"/>
          <w:bCs w:val="false"/>
          <w:i w:val="false"/>
          <w:iCs w:val="false"/>
          <w:sz w:val="22"/>
          <w:szCs w:val="22"/>
        </w:rPr>
        <w:t xml:space="preserve">Aşağıdaki listeleme, Bölüm 6’daki sonuçları üreten kodun çekirdeğidir. Tam sürüm proje deposunda tutulmaktadır ve sabit tohum değeriyle aynı sonuçları yeniden üretir.</w:t>
      </w:r>
    </w:p>
    <w:p>
      <w:pPr>
        <w:shd w:fill="F3F4F6" w:val="clear"/>
        <w:spacing w:after="0" w:line="240"/>
        <w:ind w:left="220" w:right="220"/>
      </w:pPr>
      <w:r>
        <w:rPr>
          <w:rFonts w:ascii="Consolas" w:cs="Consolas" w:eastAsia="Consolas" w:hAnsi="Consolas"/>
          <w:color w:val="202020"/>
          <w:sz w:val="17"/>
          <w:szCs w:val="17"/>
        </w:rPr>
        <w:t xml:space="preserve">def p_single(n, m, W):                 # tek tesadüf (Senaryo B)</w:t>
      </w:r>
    </w:p>
    <w:p>
      <w:pPr>
        <w:shd w:fill="F3F4F6" w:val="clear"/>
        <w:spacing w:after="0" w:line="240"/>
        <w:ind w:left="220" w:right="220"/>
      </w:pPr>
      <w:r>
        <w:rPr>
          <w:rFonts w:ascii="Consolas" w:cs="Consolas" w:eastAsia="Consolas" w:hAnsi="Consolas"/>
          <w:color w:val="202020"/>
          <w:sz w:val="17"/>
          <w:szCs w:val="17"/>
        </w:rPr>
        <w:t xml:space="preserve">    return 1.0 - (1.0 - m / W) ** n</w:t>
      </w:r>
    </w:p>
    <w:p>
      <w:pPr>
        <w:shd w:fill="F3F4F6" w:val="clear"/>
        <w:spacing w:after="0" w:line="240"/>
        <w:ind w:left="220" w:right="220"/>
      </w:pPr>
      <w:r>
        <w:rPr>
          <w:rFonts w:ascii="Consolas" w:cs="Consolas" w:eastAsia="Consolas" w:hAnsi="Consolas"/>
          <w:color w:val="202020"/>
          <w:sz w:val="17"/>
          <w:szCs w:val="17"/>
        </w:rPr>
        <w:t xml:space="preserve"> </w:t>
      </w:r>
    </w:p>
    <w:p>
      <w:pPr>
        <w:shd w:fill="F3F4F6" w:val="clear"/>
        <w:spacing w:after="0" w:line="240"/>
        <w:ind w:left="220" w:right="220"/>
      </w:pPr>
      <w:r>
        <w:rPr>
          <w:rFonts w:ascii="Consolas" w:cs="Consolas" w:eastAsia="Consolas" w:hAnsi="Consolas"/>
          <w:color w:val="202020"/>
          <w:sz w:val="17"/>
          <w:szCs w:val="17"/>
        </w:rPr>
        <w:t xml:space="preserve">def p_double(n, m, Wa, Wb):            # çift tesadüf (Senaryo C, APDF süzme)</w:t>
      </w:r>
    </w:p>
    <w:p>
      <w:pPr>
        <w:shd w:fill="F3F4F6" w:val="clear"/>
        <w:spacing w:after="0" w:line="240"/>
        <w:ind w:left="220" w:right="220"/>
      </w:pPr>
      <w:r>
        <w:rPr>
          <w:rFonts w:ascii="Consolas" w:cs="Consolas" w:eastAsia="Consolas" w:hAnsi="Consolas"/>
          <w:color w:val="202020"/>
          <w:sz w:val="17"/>
          <w:szCs w:val="17"/>
        </w:rPr>
        <w:t xml:space="preserve">    return 1.0 - exp(-(n * m) / (Wa * Wb))</w:t>
      </w:r>
    </w:p>
    <w:p>
      <w:pPr>
        <w:shd w:fill="F3F4F6" w:val="clear"/>
        <w:spacing w:after="0" w:line="240"/>
        <w:ind w:left="220" w:right="220"/>
      </w:pPr>
      <w:r>
        <w:rPr>
          <w:rFonts w:ascii="Consolas" w:cs="Consolas" w:eastAsia="Consolas" w:hAnsi="Consolas"/>
          <w:color w:val="202020"/>
          <w:sz w:val="17"/>
          <w:szCs w:val="17"/>
        </w:rPr>
        <w:t xml:space="preserve"> </w:t>
      </w:r>
    </w:p>
    <w:p>
      <w:pPr>
        <w:shd w:fill="F3F4F6" w:val="clear"/>
        <w:spacing w:after="0" w:line="240"/>
        <w:ind w:left="220" w:right="220"/>
      </w:pPr>
      <w:r>
        <w:rPr>
          <w:rFonts w:ascii="Consolas" w:cs="Consolas" w:eastAsia="Consolas" w:hAnsi="Consolas"/>
          <w:color w:val="202020"/>
          <w:sz w:val="17"/>
          <w:szCs w:val="17"/>
        </w:rPr>
        <w:t xml:space="preserve">def mc_scenario_B(n, m, W, trials):</w:t>
      </w:r>
    </w:p>
    <w:p>
      <w:pPr>
        <w:shd w:fill="F3F4F6" w:val="clear"/>
        <w:spacing w:after="0" w:line="240"/>
        <w:ind w:left="220" w:right="220"/>
      </w:pPr>
      <w:r>
        <w:rPr>
          <w:rFonts w:ascii="Consolas" w:cs="Consolas" w:eastAsia="Consolas" w:hAnsi="Consolas"/>
          <w:color w:val="202020"/>
          <w:sz w:val="17"/>
          <w:szCs w:val="17"/>
        </w:rPr>
        <w:t xml:space="preserve">    hit = 0</w:t>
      </w:r>
    </w:p>
    <w:p>
      <w:pPr>
        <w:shd w:fill="F3F4F6" w:val="clear"/>
        <w:spacing w:after="0" w:line="240"/>
        <w:ind w:left="220" w:right="220"/>
      </w:pPr>
      <w:r>
        <w:rPr>
          <w:rFonts w:ascii="Consolas" w:cs="Consolas" w:eastAsia="Consolas" w:hAnsi="Consolas"/>
          <w:color w:val="202020"/>
          <w:sz w:val="17"/>
          <w:szCs w:val="17"/>
        </w:rPr>
        <w:t xml:space="preserve">    for _ in range(trials):</w:t>
      </w:r>
    </w:p>
    <w:p>
      <w:pPr>
        <w:shd w:fill="F3F4F6" w:val="clear"/>
        <w:spacing w:after="0" w:line="240"/>
        <w:ind w:left="220" w:right="220"/>
      </w:pPr>
      <w:r>
        <w:rPr>
          <w:rFonts w:ascii="Consolas" w:cs="Consolas" w:eastAsia="Consolas" w:hAnsi="Consolas"/>
          <w:color w:val="202020"/>
          <w:sz w:val="17"/>
          <w:szCs w:val="17"/>
        </w:rPr>
        <w:t xml:space="preserve">        x = rng.integers(0, W, n)                     # simetrik tarafın dış portları</w:t>
      </w:r>
    </w:p>
    <w:p>
      <w:pPr>
        <w:shd w:fill="F3F4F6" w:val="clear"/>
        <w:spacing w:after="0" w:line="240"/>
        <w:ind w:left="220" w:right="220"/>
      </w:pPr>
      <w:r>
        <w:rPr>
          <w:rFonts w:ascii="Consolas" w:cs="Consolas" w:eastAsia="Consolas" w:hAnsi="Consolas"/>
          <w:color w:val="202020"/>
          <w:sz w:val="17"/>
          <w:szCs w:val="17"/>
        </w:rPr>
        <w:t xml:space="preserve">        t = rng.choice(W, size=m, replace=False)      # karşı tarafın taradığı portlar</w:t>
      </w:r>
    </w:p>
    <w:p>
      <w:pPr>
        <w:shd w:fill="F3F4F6" w:val="clear"/>
        <w:spacing w:after="0" w:line="240"/>
        <w:ind w:left="220" w:right="220"/>
      </w:pPr>
      <w:r>
        <w:rPr>
          <w:rFonts w:ascii="Consolas" w:cs="Consolas" w:eastAsia="Consolas" w:hAnsi="Consolas"/>
          <w:color w:val="202020"/>
          <w:sz w:val="17"/>
          <w:szCs w:val="17"/>
        </w:rPr>
        <w:t xml:space="preserve">        hit += np.intersect1d(x, t).size &gt; 0</w:t>
      </w:r>
    </w:p>
    <w:p>
      <w:pPr>
        <w:shd w:fill="F3F4F6" w:val="clear"/>
        <w:spacing w:after="0" w:line="240"/>
        <w:ind w:left="220" w:right="220"/>
      </w:pPr>
      <w:r>
        <w:rPr>
          <w:rFonts w:ascii="Consolas" w:cs="Consolas" w:eastAsia="Consolas" w:hAnsi="Consolas"/>
          <w:color w:val="202020"/>
          <w:sz w:val="17"/>
          <w:szCs w:val="17"/>
        </w:rPr>
        <w:t xml:space="preserve">    return hit / trials</w:t>
      </w:r>
    </w:p>
    <w:p>
      <w:pPr>
        <w:shd w:fill="F3F4F6" w:val="clear"/>
        <w:spacing w:after="0" w:line="240"/>
        <w:ind w:left="220" w:right="220"/>
      </w:pPr>
      <w:r>
        <w:rPr>
          <w:rFonts w:ascii="Consolas" w:cs="Consolas" w:eastAsia="Consolas" w:hAnsi="Consolas"/>
          <w:color w:val="202020"/>
          <w:sz w:val="17"/>
          <w:szCs w:val="17"/>
        </w:rPr>
        <w:t xml:space="preserve"> </w:t>
      </w:r>
    </w:p>
    <w:p>
      <w:pPr>
        <w:shd w:fill="F3F4F6" w:val="clear"/>
        <w:spacing w:after="0" w:line="240"/>
        <w:ind w:left="220" w:right="220"/>
      </w:pPr>
      <w:r>
        <w:rPr>
          <w:rFonts w:ascii="Consolas" w:cs="Consolas" w:eastAsia="Consolas" w:hAnsi="Consolas"/>
          <w:color w:val="202020"/>
          <w:sz w:val="17"/>
          <w:szCs w:val="17"/>
        </w:rPr>
        <w:t xml:space="preserve">def mc_scenario_C_apdf(n, m, Wa, Wb, trials):</w:t>
      </w:r>
    </w:p>
    <w:p>
      <w:pPr>
        <w:shd w:fill="F3F4F6" w:val="clear"/>
        <w:spacing w:after="0" w:line="240"/>
        <w:ind w:left="220" w:right="220"/>
      </w:pPr>
      <w:r>
        <w:rPr>
          <w:rFonts w:ascii="Consolas" w:cs="Consolas" w:eastAsia="Consolas" w:hAnsi="Consolas"/>
          <w:color w:val="202020"/>
          <w:sz w:val="17"/>
          <w:szCs w:val="17"/>
        </w:rPr>
        <w:t xml:space="preserve">    hit = 0</w:t>
      </w:r>
    </w:p>
    <w:p>
      <w:pPr>
        <w:shd w:fill="F3F4F6" w:val="clear"/>
        <w:spacing w:after="0" w:line="240"/>
        <w:ind w:left="220" w:right="220"/>
      </w:pPr>
      <w:r>
        <w:rPr>
          <w:rFonts w:ascii="Consolas" w:cs="Consolas" w:eastAsia="Consolas" w:hAnsi="Consolas"/>
          <w:color w:val="202020"/>
          <w:sz w:val="17"/>
          <w:szCs w:val="17"/>
        </w:rPr>
        <w:t xml:space="preserve">    for _ in range(trials):</w:t>
      </w:r>
    </w:p>
    <w:p>
      <w:pPr>
        <w:shd w:fill="F3F4F6" w:val="clear"/>
        <w:spacing w:after="0" w:line="240"/>
        <w:ind w:left="220" w:right="220"/>
      </w:pPr>
      <w:r>
        <w:rPr>
          <w:rFonts w:ascii="Consolas" w:cs="Consolas" w:eastAsia="Consolas" w:hAnsi="Consolas"/>
          <w:color w:val="202020"/>
          <w:sz w:val="17"/>
          <w:szCs w:val="17"/>
        </w:rPr>
        <w:t xml:space="preserve">        xa = rng.integers(0, Wa, n)                   # A'nin dis portlari</w:t>
      </w:r>
    </w:p>
    <w:p>
      <w:pPr>
        <w:shd w:fill="F3F4F6" w:val="clear"/>
        <w:spacing w:after="0" w:line="240"/>
        <w:ind w:left="220" w:right="220"/>
      </w:pPr>
      <w:r>
        <w:rPr>
          <w:rFonts w:ascii="Consolas" w:cs="Consolas" w:eastAsia="Consolas" w:hAnsi="Consolas"/>
          <w:color w:val="202020"/>
          <w:sz w:val="17"/>
          <w:szCs w:val="17"/>
        </w:rPr>
        <w:t xml:space="preserve">        ta = rng.choice(Wb, size=n, replace=False)    # A'nin hedefleri</w:t>
      </w:r>
    </w:p>
    <w:p>
      <w:pPr>
        <w:shd w:fill="F3F4F6" w:val="clear"/>
        <w:spacing w:after="0" w:line="240"/>
        <w:ind w:left="220" w:right="220"/>
      </w:pPr>
      <w:r>
        <w:rPr>
          <w:rFonts w:ascii="Consolas" w:cs="Consolas" w:eastAsia="Consolas" w:hAnsi="Consolas"/>
          <w:color w:val="202020"/>
          <w:sz w:val="17"/>
          <w:szCs w:val="17"/>
        </w:rPr>
        <w:t xml:space="preserve">        yb = rng.integers(0, Wb, m)                   # B'nin dis portlari</w:t>
      </w:r>
    </w:p>
    <w:p>
      <w:pPr>
        <w:shd w:fill="F3F4F6" w:val="clear"/>
        <w:spacing w:after="0" w:line="240"/>
        <w:ind w:left="220" w:right="220"/>
      </w:pPr>
      <w:r>
        <w:rPr>
          <w:rFonts w:ascii="Consolas" w:cs="Consolas" w:eastAsia="Consolas" w:hAnsi="Consolas"/>
          <w:color w:val="202020"/>
          <w:sz w:val="17"/>
          <w:szCs w:val="17"/>
        </w:rPr>
        <w:t xml:space="preserve">        ub = rng.choice(Wa, size=m, replace=False)    # B'nin hedefleri</w:t>
      </w:r>
    </w:p>
    <w:p>
      <w:pPr>
        <w:shd w:fill="F3F4F6" w:val="clear"/>
        <w:spacing w:after="0" w:line="240"/>
        <w:ind w:left="220" w:right="220"/>
      </w:pPr>
      <w:r>
        <w:rPr>
          <w:rFonts w:ascii="Consolas" w:cs="Consolas" w:eastAsia="Consolas" w:hAnsi="Consolas"/>
          <w:color w:val="202020"/>
          <w:sz w:val="17"/>
          <w:szCs w:val="17"/>
        </w:rPr>
        <w:t xml:space="preserve">        bmap = {}</w:t>
      </w:r>
    </w:p>
    <w:p>
      <w:pPr>
        <w:shd w:fill="F3F4F6" w:val="clear"/>
        <w:spacing w:after="0" w:line="240"/>
        <w:ind w:left="220" w:right="220"/>
      </w:pPr>
      <w:r>
        <w:rPr>
          <w:rFonts w:ascii="Consolas" w:cs="Consolas" w:eastAsia="Consolas" w:hAnsi="Consolas"/>
          <w:color w:val="202020"/>
          <w:sz w:val="17"/>
          <w:szCs w:val="17"/>
        </w:rPr>
        <w:t xml:space="preserve">        for p, u in zip(yb, ub): bmap.setdefault(int(p), set()).add(int(u))</w:t>
      </w:r>
    </w:p>
    <w:p>
      <w:pPr>
        <w:shd w:fill="F3F4F6" w:val="clear"/>
        <w:spacing w:after="0" w:line="240"/>
        <w:ind w:left="220" w:right="220"/>
      </w:pPr>
      <w:r>
        <w:rPr>
          <w:rFonts w:ascii="Consolas" w:cs="Consolas" w:eastAsia="Consolas" w:hAnsi="Consolas"/>
          <w:color w:val="202020"/>
          <w:sz w:val="17"/>
          <w:szCs w:val="17"/>
        </w:rPr>
        <w:t xml:space="preserve">        hit += any(int(xi) in bmap.get(int(ti), ()) for xi, ti in zip(xa, ta))</w:t>
      </w:r>
    </w:p>
    <w:p>
      <w:pPr>
        <w:shd w:fill="F3F4F6" w:val="clear"/>
        <w:spacing w:after="0" w:line="240"/>
        <w:ind w:left="220" w:right="220"/>
      </w:pPr>
      <w:r>
        <w:rPr>
          <w:rFonts w:ascii="Consolas" w:cs="Consolas" w:eastAsia="Consolas" w:hAnsi="Consolas"/>
          <w:color w:val="202020"/>
          <w:sz w:val="17"/>
          <w:szCs w:val="17"/>
        </w:rPr>
        <w:t xml:space="preserve">    return hit / trials</w:t>
      </w:r>
    </w:p>
    <w:p>
      <w:pPr>
        <w:shd w:fill="F3F4F6" w:val="clear"/>
        <w:spacing w:after="0" w:line="240"/>
        <w:ind w:left="220" w:right="220"/>
      </w:pPr>
      <w:r>
        <w:rPr>
          <w:rFonts w:ascii="Consolas" w:cs="Consolas" w:eastAsia="Consolas" w:hAnsi="Consolas"/>
          <w:color w:val="202020"/>
          <w:sz w:val="17"/>
          <w:szCs w:val="17"/>
        </w:rPr>
        <w:t xml:space="preserve"> </w:t>
      </w:r>
    </w:p>
    <w:p>
      <w:pPr>
        <w:shd w:fill="F3F4F6" w:val="clear"/>
        <w:spacing w:after="0" w:line="240"/>
        <w:ind w:left="220" w:right="220"/>
      </w:pPr>
      <w:r>
        <w:rPr>
          <w:rFonts w:ascii="Consolas" w:cs="Consolas" w:eastAsia="Consolas" w:hAnsi="Consolas"/>
          <w:color w:val="202020"/>
          <w:sz w:val="17"/>
          <w:szCs w:val="17"/>
        </w:rPr>
        <w:t xml:space="preserve">def p_with_coverage(n, m, W_true, rho): # profil isabet orani</w:t>
      </w:r>
    </w:p>
    <w:p>
      <w:pPr>
        <w:shd w:fill="F3F4F6" w:val="clear"/>
        <w:spacing w:after="140" w:line="240"/>
        <w:ind w:left="220" w:right="220"/>
      </w:pPr>
      <w:r>
        <w:rPr>
          <w:rFonts w:ascii="Consolas" w:cs="Consolas" w:eastAsia="Consolas" w:hAnsi="Consolas"/>
          <w:color w:val="202020"/>
          <w:sz w:val="17"/>
          <w:szCs w:val="17"/>
        </w:rPr>
        <w:t xml:space="preserve">    return 1.0 - (1.0 - (rho * m) / W_true) ** n</w:t>
      </w:r>
    </w:p>
    <w:p>
      <w:pPr>
        <w:pStyle w:val="Heading1"/>
        <w:spacing w:after="160" w:before="320"/>
      </w:pPr>
      <w:r>
        <w:rPr>
          <w:rFonts w:ascii="Calibri" w:cs="Calibri" w:eastAsia="Calibri" w:hAnsi="Calibri"/>
          <w:b/>
          <w:bCs/>
          <w:color w:val="1F3A5F"/>
          <w:sz w:val="28"/>
          <w:szCs w:val="28"/>
        </w:rPr>
        <w:t xml:space="preserve">Ek C — Kısaltmalar</w:t>
      </w:r>
    </w:p>
    <w:tbl>
      <w:tblPr>
        <w:tblW w:type="dxa" w:w="9638"/>
        <w:tblBorders>
          <w:top w:val="single" w:color="9AA5B1" w:sz="4"/>
          <w:left w:val="single" w:color="9AA5B1" w:sz="4"/>
          <w:bottom w:val="single" w:color="9AA5B1" w:sz="4"/>
          <w:right w:val="single" w:color="9AA5B1" w:sz="4"/>
          <w:insideH w:val="single" w:color="C7CDD4" w:sz="2"/>
          <w:insideV w:val="single" w:color="C7CDD4" w:sz="2"/>
        </w:tblBorders>
      </w:tblPr>
      <w:tblGrid>
        <w:gridCol w:w="2200"/>
        <w:gridCol w:w="7438"/>
      </w:tblGrid>
      <w:tr>
        <w:trPr>
          <w:tblHeader/>
        </w:trPr>
        <w:tc>
          <w:tcPr>
            <w:tcW w:type="dxa" w:w="2200"/>
            <w:shd w:fill="DCE3EC" w:val="clear"/>
            <w:tcMar>
              <w:top w:type="dxa" w:w="70"/>
              <w:left w:type="dxa" w:w="100"/>
              <w:bottom w:type="dxa" w:w="70"/>
              <w:right w:type="dxa" w:w="100"/>
            </w:tcMar>
          </w:tcPr>
          <w:p>
            <w:pPr>
              <w:spacing w:after="0" w:line="240"/>
              <w:jc w:val="center"/>
            </w:pPr>
            <w:r>
              <w:rPr>
                <w:b/>
                <w:bCs/>
                <w:sz w:val="19"/>
                <w:szCs w:val="19"/>
              </w:rPr>
              <w:t xml:space="preserve">Kısaltma</w:t>
            </w:r>
          </w:p>
        </w:tc>
        <w:tc>
          <w:tcPr>
            <w:tcW w:type="dxa" w:w="7438"/>
            <w:shd w:fill="DCE3EC" w:val="clear"/>
            <w:tcMar>
              <w:top w:type="dxa" w:w="70"/>
              <w:left w:type="dxa" w:w="100"/>
              <w:bottom w:type="dxa" w:w="70"/>
              <w:right w:type="dxa" w:w="100"/>
            </w:tcMar>
          </w:tcPr>
          <w:p>
            <w:pPr>
              <w:spacing w:after="0" w:line="240"/>
              <w:jc w:val="center"/>
            </w:pPr>
            <w:r>
              <w:rPr>
                <w:b/>
                <w:bCs/>
                <w:sz w:val="19"/>
                <w:szCs w:val="19"/>
              </w:rPr>
              <w:t xml:space="preserve">Açıklama</w:t>
            </w:r>
          </w:p>
        </w:tc>
      </w:tr>
      <w:tr>
        <w:tc>
          <w:tcPr>
            <w:tcW w:type="dxa" w:w="2200"/>
            <w:tcMar>
              <w:top w:type="dxa" w:w="70"/>
              <w:left w:type="dxa" w:w="100"/>
              <w:bottom w:type="dxa" w:w="70"/>
              <w:right w:type="dxa" w:w="100"/>
            </w:tcMar>
          </w:tcPr>
          <w:p>
            <w:pPr>
              <w:spacing w:after="0" w:line="240"/>
              <w:jc w:val="left"/>
            </w:pPr>
            <w:r>
              <w:rPr>
                <w:b/>
                <w:bCs/>
                <w:sz w:val="19"/>
                <w:szCs w:val="19"/>
              </w:rPr>
              <w:t xml:space="preserve">NAT</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Network Address Translation — ağ adresi dönüştürme</w:t>
            </w:r>
          </w:p>
        </w:tc>
      </w:tr>
      <w:tr>
        <w:tc>
          <w:tcPr>
            <w:tcW w:type="dxa" w:w="2200"/>
            <w:tcMar>
              <w:top w:type="dxa" w:w="70"/>
              <w:left w:type="dxa" w:w="100"/>
              <w:bottom w:type="dxa" w:w="70"/>
              <w:right w:type="dxa" w:w="100"/>
            </w:tcMar>
          </w:tcPr>
          <w:p>
            <w:pPr>
              <w:spacing w:after="0" w:line="240"/>
              <w:jc w:val="left"/>
            </w:pPr>
            <w:r>
              <w:rPr>
                <w:b/>
                <w:bCs/>
                <w:sz w:val="19"/>
                <w:szCs w:val="19"/>
              </w:rPr>
              <w:t xml:space="preserve">CGNAT</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Carrier-Grade NAT — operatör düzeyinde NAT</w:t>
            </w:r>
          </w:p>
        </w:tc>
      </w:tr>
      <w:tr>
        <w:tc>
          <w:tcPr>
            <w:tcW w:type="dxa" w:w="2200"/>
            <w:tcMar>
              <w:top w:type="dxa" w:w="70"/>
              <w:left w:type="dxa" w:w="100"/>
              <w:bottom w:type="dxa" w:w="70"/>
              <w:right w:type="dxa" w:w="100"/>
            </w:tcMar>
          </w:tcPr>
          <w:p>
            <w:pPr>
              <w:spacing w:after="0" w:line="240"/>
              <w:jc w:val="left"/>
            </w:pPr>
            <w:r>
              <w:rPr>
                <w:b/>
                <w:bCs/>
                <w:sz w:val="19"/>
                <w:szCs w:val="19"/>
              </w:rPr>
              <w:t xml:space="preserve">STUN</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Session Traversal Utilities for NAT (RFC 5389 / RFC 8489)</w:t>
            </w:r>
          </w:p>
        </w:tc>
      </w:tr>
      <w:tr>
        <w:tc>
          <w:tcPr>
            <w:tcW w:type="dxa" w:w="2200"/>
            <w:tcMar>
              <w:top w:type="dxa" w:w="70"/>
              <w:left w:type="dxa" w:w="100"/>
              <w:bottom w:type="dxa" w:w="70"/>
              <w:right w:type="dxa" w:w="100"/>
            </w:tcMar>
          </w:tcPr>
          <w:p>
            <w:pPr>
              <w:spacing w:after="0" w:line="240"/>
              <w:jc w:val="left"/>
            </w:pPr>
            <w:r>
              <w:rPr>
                <w:b/>
                <w:bCs/>
                <w:sz w:val="19"/>
                <w:szCs w:val="19"/>
              </w:rPr>
              <w:t xml:space="preserve">TURN</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Traversal Using Relays around NAT (RFC 5766 / RFC 8656)</w:t>
            </w:r>
          </w:p>
        </w:tc>
      </w:tr>
      <w:tr>
        <w:tc>
          <w:tcPr>
            <w:tcW w:type="dxa" w:w="2200"/>
            <w:tcMar>
              <w:top w:type="dxa" w:w="70"/>
              <w:left w:type="dxa" w:w="100"/>
              <w:bottom w:type="dxa" w:w="70"/>
              <w:right w:type="dxa" w:w="100"/>
            </w:tcMar>
          </w:tcPr>
          <w:p>
            <w:pPr>
              <w:spacing w:after="0" w:line="240"/>
              <w:jc w:val="left"/>
            </w:pPr>
            <w:r>
              <w:rPr>
                <w:b/>
                <w:bCs/>
                <w:sz w:val="19"/>
                <w:szCs w:val="19"/>
              </w:rPr>
              <w:t xml:space="preserve">ICE</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Interactive Connectivity Establishment (RFC 8445)</w:t>
            </w:r>
          </w:p>
        </w:tc>
      </w:tr>
      <w:tr>
        <w:tc>
          <w:tcPr>
            <w:tcW w:type="dxa" w:w="2200"/>
            <w:tcMar>
              <w:top w:type="dxa" w:w="70"/>
              <w:left w:type="dxa" w:w="100"/>
              <w:bottom w:type="dxa" w:w="70"/>
              <w:right w:type="dxa" w:w="100"/>
            </w:tcMar>
          </w:tcPr>
          <w:p>
            <w:pPr>
              <w:spacing w:after="0" w:line="240"/>
              <w:jc w:val="left"/>
            </w:pPr>
            <w:r>
              <w:rPr>
                <w:b/>
                <w:bCs/>
                <w:sz w:val="19"/>
                <w:szCs w:val="19"/>
              </w:rPr>
              <w:t xml:space="preserve">srflx</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Server reflexive candidate — sunucudan yansıyan aday</w:t>
            </w:r>
          </w:p>
        </w:tc>
      </w:tr>
      <w:tr>
        <w:tc>
          <w:tcPr>
            <w:tcW w:type="dxa" w:w="2200"/>
            <w:tcMar>
              <w:top w:type="dxa" w:w="70"/>
              <w:left w:type="dxa" w:w="100"/>
              <w:bottom w:type="dxa" w:w="70"/>
              <w:right w:type="dxa" w:w="100"/>
            </w:tcMar>
          </w:tcPr>
          <w:p>
            <w:pPr>
              <w:spacing w:after="0" w:line="240"/>
              <w:jc w:val="left"/>
            </w:pPr>
            <w:r>
              <w:rPr>
                <w:b/>
                <w:bCs/>
                <w:sz w:val="19"/>
                <w:szCs w:val="19"/>
              </w:rPr>
              <w:t xml:space="preserve">5-tuple</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Kaynak IP, kaynak port, hedef IP, hedef port, protokol beşlisi</w:t>
            </w:r>
          </w:p>
        </w:tc>
      </w:tr>
      <w:tr>
        <w:tc>
          <w:tcPr>
            <w:tcW w:type="dxa" w:w="2200"/>
            <w:tcMar>
              <w:top w:type="dxa" w:w="70"/>
              <w:left w:type="dxa" w:w="100"/>
              <w:bottom w:type="dxa" w:w="70"/>
              <w:right w:type="dxa" w:w="100"/>
            </w:tcMar>
          </w:tcPr>
          <w:p>
            <w:pPr>
              <w:spacing w:after="0" w:line="240"/>
              <w:jc w:val="left"/>
            </w:pPr>
            <w:r>
              <w:rPr>
                <w:b/>
                <w:bCs/>
                <w:sz w:val="19"/>
                <w:szCs w:val="19"/>
              </w:rPr>
              <w:t xml:space="preserve">EIF / ADF / APDF</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Uç noktadan bağımsız / adrese bağımlı / adres ve porta bağımlı süzme</w:t>
            </w:r>
          </w:p>
        </w:tc>
      </w:tr>
      <w:tr>
        <w:tc>
          <w:tcPr>
            <w:tcW w:type="dxa" w:w="2200"/>
            <w:tcMar>
              <w:top w:type="dxa" w:w="70"/>
              <w:left w:type="dxa" w:w="100"/>
              <w:bottom w:type="dxa" w:w="70"/>
              <w:right w:type="dxa" w:w="100"/>
            </w:tcMar>
          </w:tcPr>
          <w:p>
            <w:pPr>
              <w:spacing w:after="0" w:line="240"/>
              <w:jc w:val="left"/>
            </w:pPr>
            <w:r>
              <w:rPr>
                <w:b/>
                <w:bCs/>
                <w:sz w:val="19"/>
                <w:szCs w:val="19"/>
              </w:rPr>
              <w:t xml:space="preserve">DPI</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Deep Packet Inspection — derin paket incelemesi</w:t>
            </w:r>
          </w:p>
        </w:tc>
      </w:tr>
      <w:tr>
        <w:tc>
          <w:tcPr>
            <w:tcW w:type="dxa" w:w="2200"/>
            <w:tcMar>
              <w:top w:type="dxa" w:w="70"/>
              <w:left w:type="dxa" w:w="100"/>
              <w:bottom w:type="dxa" w:w="70"/>
              <w:right w:type="dxa" w:w="100"/>
            </w:tcMar>
          </w:tcPr>
          <w:p>
            <w:pPr>
              <w:spacing w:after="0" w:line="240"/>
              <w:jc w:val="left"/>
            </w:pPr>
            <w:r>
              <w:rPr>
                <w:b/>
                <w:bCs/>
                <w:sz w:val="19"/>
                <w:szCs w:val="19"/>
              </w:rPr>
              <w:t xml:space="preserve">epoll</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Linux çekirdeğinde ölçeklenebilir olay bildirim arayüzü</w:t>
            </w:r>
          </w:p>
        </w:tc>
      </w:tr>
      <w:tr>
        <w:tc>
          <w:tcPr>
            <w:tcW w:type="dxa" w:w="2200"/>
            <w:tcMar>
              <w:top w:type="dxa" w:w="70"/>
              <w:left w:type="dxa" w:w="100"/>
              <w:bottom w:type="dxa" w:w="70"/>
              <w:right w:type="dxa" w:w="100"/>
            </w:tcMar>
          </w:tcPr>
          <w:p>
            <w:pPr>
              <w:spacing w:after="0" w:line="240"/>
              <w:jc w:val="left"/>
            </w:pPr>
            <w:r>
              <w:rPr>
                <w:b/>
                <w:bCs/>
                <w:sz w:val="19"/>
                <w:szCs w:val="19"/>
              </w:rPr>
              <w:t xml:space="preserve">P2P</w:t>
            </w:r>
          </w:p>
        </w:tc>
        <w:tc>
          <w:tcPr>
            <w:tcW w:type="dxa" w:w="7438"/>
            <w:tcMar>
              <w:top w:type="dxa" w:w="70"/>
              <w:left w:type="dxa" w:w="100"/>
              <w:bottom w:type="dxa" w:w="70"/>
              <w:right w:type="dxa" w:w="100"/>
            </w:tcMar>
          </w:tcPr>
          <w:p>
            <w:pPr>
              <w:spacing w:after="0" w:line="240"/>
              <w:jc w:val="left"/>
            </w:pPr>
            <w:r>
              <w:rPr>
                <w:b w:val="false"/>
                <w:bCs w:val="false"/>
                <w:sz w:val="19"/>
                <w:szCs w:val="19"/>
              </w:rPr>
              <w:t xml:space="preserve">Peer-to-peer — uçtan uca doğrudan iletişim</w:t>
            </w:r>
          </w:p>
        </w:tc>
      </w:tr>
    </w:tbl>
    <w:p>
      <w:pPr>
        <w:pStyle w:val="Heading1"/>
        <w:spacing w:after="160" w:before="320"/>
      </w:pPr>
      <w:r>
        <w:rPr>
          <w:rFonts w:ascii="Calibri" w:cs="Calibri" w:eastAsia="Calibri" w:hAnsi="Calibri"/>
          <w:b/>
          <w:bCs/>
          <w:color w:val="1F3A5F"/>
          <w:sz w:val="28"/>
          <w:szCs w:val="28"/>
        </w:rPr>
        <w:t xml:space="preserve">Ek D — Kaynaklar</w:t>
      </w:r>
    </w:p>
    <w:p>
      <w:pPr>
        <w:spacing w:after="60" w:line="276"/>
        <w:jc w:val="both"/>
      </w:pPr>
      <w:r>
        <w:rPr>
          <w:b w:val="false"/>
          <w:bCs w:val="false"/>
          <w:i w:val="false"/>
          <w:iCs w:val="false"/>
          <w:sz w:val="22"/>
          <w:szCs w:val="22"/>
        </w:rPr>
        <w:t xml:space="preserve">[1] RFC 4787 — NAT Behavioral Requirements for Unicast UDP. IETF, 2007.</w:t>
      </w:r>
    </w:p>
    <w:p>
      <w:pPr>
        <w:spacing w:after="60" w:line="276"/>
        <w:jc w:val="both"/>
      </w:pPr>
      <w:r>
        <w:rPr>
          <w:b w:val="false"/>
          <w:bCs w:val="false"/>
          <w:i w:val="false"/>
          <w:iCs w:val="false"/>
          <w:sz w:val="22"/>
          <w:szCs w:val="22"/>
        </w:rPr>
        <w:t xml:space="preserve">[2] RFC 8489 — Session Traversal Utilities for NAT (STUN). IETF, 2020.</w:t>
      </w:r>
    </w:p>
    <w:p>
      <w:pPr>
        <w:spacing w:after="60" w:line="276"/>
        <w:jc w:val="both"/>
      </w:pPr>
      <w:r>
        <w:rPr>
          <w:b w:val="false"/>
          <w:bCs w:val="false"/>
          <w:i w:val="false"/>
          <w:iCs w:val="false"/>
          <w:sz w:val="22"/>
          <w:szCs w:val="22"/>
        </w:rPr>
        <w:t xml:space="preserve">[3] RFC 8445 — Interactive Connectivity Establishment (ICE). IETF, 2018.</w:t>
      </w:r>
    </w:p>
    <w:p>
      <w:pPr>
        <w:spacing w:after="60" w:line="276"/>
        <w:jc w:val="both"/>
      </w:pPr>
      <w:r>
        <w:rPr>
          <w:b w:val="false"/>
          <w:bCs w:val="false"/>
          <w:i w:val="false"/>
          <w:iCs w:val="false"/>
          <w:sz w:val="22"/>
          <w:szCs w:val="22"/>
        </w:rPr>
        <w:t xml:space="preserve">[4] RFC 8656 — Traversal Using Relays around NAT (TURN). IETF, 2020.</w:t>
      </w:r>
    </w:p>
    <w:p>
      <w:pPr>
        <w:spacing w:after="60" w:line="276"/>
        <w:jc w:val="both"/>
      </w:pPr>
      <w:r>
        <w:rPr>
          <w:b w:val="false"/>
          <w:bCs w:val="false"/>
          <w:i w:val="false"/>
          <w:iCs w:val="false"/>
          <w:sz w:val="22"/>
          <w:szCs w:val="22"/>
        </w:rPr>
        <w:t xml:space="preserve">[5] RFC 5128 — State of Peer-to-Peer (P2P) Communication across Network Address Translators. IETF, 2008.</w:t>
      </w:r>
    </w:p>
    <w:p>
      <w:pPr>
        <w:spacing w:after="60" w:line="276"/>
        <w:jc w:val="both"/>
      </w:pPr>
      <w:r>
        <w:rPr>
          <w:b w:val="false"/>
          <w:bCs w:val="false"/>
          <w:i w:val="false"/>
          <w:iCs w:val="false"/>
          <w:sz w:val="22"/>
          <w:szCs w:val="22"/>
        </w:rPr>
        <w:t xml:space="preserve">[6] RFC 5780 — NAT Behavior Discovery Using STUN. IETF, 2010.</w:t>
      </w:r>
    </w:p>
    <w:p>
      <w:pPr>
        <w:spacing w:after="60" w:line="276"/>
        <w:jc w:val="both"/>
      </w:pPr>
      <w:r>
        <w:rPr>
          <w:b w:val="false"/>
          <w:bCs w:val="false"/>
          <w:i w:val="false"/>
          <w:iCs w:val="false"/>
          <w:sz w:val="22"/>
          <w:szCs w:val="22"/>
        </w:rPr>
        <w:t xml:space="preserve">[7] B. Ford, P. Srisuresh, D. Kegel — Peer-to-Peer Communication Across Network Address Translators. USENIX Annual Technical Conference, 2005.</w:t>
      </w:r>
    </w:p>
    <w:p>
      <w:pPr>
        <w:spacing w:after="60" w:line="276"/>
        <w:jc w:val="both"/>
      </w:pPr>
      <w:r>
        <w:rPr>
          <w:b w:val="false"/>
          <w:bCs w:val="false"/>
          <w:i w:val="false"/>
          <w:iCs w:val="false"/>
          <w:sz w:val="22"/>
          <w:szCs w:val="22"/>
        </w:rPr>
        <w:t xml:space="preserve">[8] RoftCore Teknoloji A.Ş. — Taşıma Katmanı Tasarım Belgesi (iç belge).</w:t>
      </w:r>
    </w:p>
    <w:p>
      <w:pPr>
        <w:spacing w:after="60" w:line="276"/>
        <w:jc w:val="both"/>
      </w:pPr>
      <w:r>
        <w:rPr>
          <w:b w:val="false"/>
          <w:bCs w:val="false"/>
          <w:i w:val="false"/>
          <w:iCs w:val="false"/>
          <w:sz w:val="22"/>
          <w:szCs w:val="22"/>
        </w:rPr>
        <w:t xml:space="preserve">[9] RoftCore Teknoloji A.Ş. — Sinyalleşme Protokolü Belgesi (iç belge).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pBdr>
      <w:tabs>
        <w:tab w:val="right" w:pos="9638"/>
      </w:tabs>
    </w:pPr>
    <w:r>
      <w:rPr>
        <w:rFonts w:ascii="Calibri" w:cs="Calibri" w:eastAsia="Calibri" w:hAnsi="Calibri"/>
        <w:color w:val="555555"/>
        <w:sz w:val="16"/>
        <w:szCs w:val="16"/>
      </w:rPr>
      <w:t xml:space="preserve">RC-TR-NATGHOST-001 · NATGhost Algoritma Raporu</w:t>
    </w:r>
    <w:r>
      <w:rPr>
        <w:rFonts w:ascii="Calibri" w:cs="Calibri" w:eastAsia="Calibri" w:hAnsi="Calibri"/>
        <w:color w:val="555555"/>
        <w:sz w:val="16"/>
        <w:szCs w:val="16"/>
      </w:rPr>
      <w:t xml:space="preserve">	RoftCore Teknoloji A.Ş.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star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e96ead7a7173139099abf4be8629e69c832b6b.png"/><Relationship Id="rId10" Type="http://schemas.openxmlformats.org/officeDocument/2006/relationships/image" Target="media/e7c6f994ad0deed6ce126d6ea179f80eacd1f6b4.png"/><Relationship Id="rId11" Type="http://schemas.openxmlformats.org/officeDocument/2006/relationships/image" Target="media/9b7fa02c91104a49cffc6c522a78d0ca3a0d554a.png"/><Relationship Id="rId12" Type="http://schemas.openxmlformats.org/officeDocument/2006/relationships/image" Target="media/2df9294db64451c980081c6e674b04e5fac616e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NATGhost Algoritma Raporu</dc:title>
  <dc:creator>RoftCore Teknoloji A.Ş.</dc:creator>
  <dc:description>Ara çıktı teknik raporu — RC-TR-NATGHOST-001</dc:description>
  <cp:lastModifiedBy>Un-named</cp:lastModifiedBy>
  <cp:revision>1</cp:revision>
  <dcterms:created xsi:type="dcterms:W3CDTF">2026-08-14T12:52:33.535Z</dcterms:created>
  <dcterms:modified xsi:type="dcterms:W3CDTF">2026-08-14T12:52:33.535Z</dcterms:modified>
</cp:coreProperties>
</file>

<file path=docProps/custom.xml><?xml version="1.0" encoding="utf-8"?>
<Properties xmlns="http://schemas.openxmlformats.org/officeDocument/2006/custom-properties" xmlns:vt="http://schemas.openxmlformats.org/officeDocument/2006/docPropsVTypes"/>
</file>