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BDB1C" w14:textId="77777777" w:rsidR="00DA614A" w:rsidRDefault="00000000">
      <w:pPr>
        <w:pStyle w:val="Heading1"/>
      </w:pPr>
      <w:r>
        <w:rPr>
          <w:color w:val="1F497D"/>
        </w:rPr>
        <w:t>Integrations Stream – March 2026 Status Report</w:t>
      </w:r>
    </w:p>
    <w:p w14:paraId="0B51B324" w14:textId="77777777" w:rsidR="00DA614A" w:rsidRDefault="00000000">
      <w:r>
        <w:rPr>
          <w:b/>
        </w:rPr>
        <w:t>Project:</w:t>
      </w:r>
      <w:r>
        <w:t xml:space="preserve"> Nexus Customer Portal</w:t>
      </w:r>
    </w:p>
    <w:p w14:paraId="58522A1E" w14:textId="77777777" w:rsidR="00DA614A" w:rsidRDefault="00000000">
      <w:r>
        <w:rPr>
          <w:b/>
        </w:rPr>
        <w:t>Stream Lead:</w:t>
      </w:r>
      <w:r>
        <w:t xml:space="preserve"> David Reyes</w:t>
      </w:r>
    </w:p>
    <w:p w14:paraId="6326AA05" w14:textId="77777777" w:rsidR="00DA614A" w:rsidRDefault="00000000">
      <w:r>
        <w:rPr>
          <w:b/>
        </w:rPr>
        <w:t>Reporting Period:</w:t>
      </w:r>
      <w:r>
        <w:t xml:space="preserve"> March 1–31, 2026</w:t>
      </w:r>
    </w:p>
    <w:p w14:paraId="5D557BF3" w14:textId="77777777" w:rsidR="00DA614A" w:rsidRDefault="00000000">
      <w:r>
        <w:rPr>
          <w:b/>
        </w:rPr>
        <w:t>Status:</w:t>
      </w:r>
      <w:r>
        <w:t xml:space="preserve"> RED</w:t>
      </w:r>
    </w:p>
    <w:p w14:paraId="3380F5F7" w14:textId="77777777" w:rsidR="00DA614A" w:rsidRDefault="00DA614A">
      <w:pPr>
        <w:pBdr>
          <w:bottom w:val="single" w:sz="6" w:space="1" w:color="4472C4"/>
        </w:pBdr>
      </w:pPr>
    </w:p>
    <w:p w14:paraId="7568D2A7" w14:textId="77777777" w:rsidR="00DA614A" w:rsidRDefault="00000000">
      <w:pPr>
        <w:pStyle w:val="Heading2"/>
      </w:pPr>
      <w:r>
        <w:rPr>
          <w:color w:val="2F5496"/>
        </w:rPr>
        <w:t>Top 5 Risks</w:t>
      </w:r>
    </w:p>
    <w:tbl>
      <w:tblPr>
        <w:tblStyle w:val="TableGrid"/>
        <w:tblW w:w="0" w:type="auto"/>
        <w:tblLook w:val="04A0" w:firstRow="1" w:lastRow="0" w:firstColumn="1" w:lastColumn="0" w:noHBand="0" w:noVBand="1"/>
      </w:tblPr>
      <w:tblGrid>
        <w:gridCol w:w="1728"/>
        <w:gridCol w:w="1728"/>
        <w:gridCol w:w="1728"/>
        <w:gridCol w:w="1728"/>
        <w:gridCol w:w="1728"/>
      </w:tblGrid>
      <w:tr w:rsidR="00DA614A" w14:paraId="667EE350" w14:textId="77777777">
        <w:tc>
          <w:tcPr>
            <w:tcW w:w="1728" w:type="dxa"/>
            <w:shd w:val="clear" w:color="auto" w:fill="D9E1F2"/>
          </w:tcPr>
          <w:p w14:paraId="51664D46" w14:textId="77777777" w:rsidR="00DA614A" w:rsidRDefault="00000000">
            <w:r>
              <w:rPr>
                <w:b/>
              </w:rPr>
              <w:t>#</w:t>
            </w:r>
          </w:p>
        </w:tc>
        <w:tc>
          <w:tcPr>
            <w:tcW w:w="1728" w:type="dxa"/>
            <w:shd w:val="clear" w:color="auto" w:fill="D9E1F2"/>
          </w:tcPr>
          <w:p w14:paraId="5CAF52F7" w14:textId="77777777" w:rsidR="00DA614A" w:rsidRDefault="00000000">
            <w:r>
              <w:rPr>
                <w:b/>
              </w:rPr>
              <w:t>Risk</w:t>
            </w:r>
          </w:p>
        </w:tc>
        <w:tc>
          <w:tcPr>
            <w:tcW w:w="1728" w:type="dxa"/>
            <w:shd w:val="clear" w:color="auto" w:fill="D9E1F2"/>
          </w:tcPr>
          <w:p w14:paraId="4D0EB415" w14:textId="77777777" w:rsidR="00DA614A" w:rsidRDefault="00000000">
            <w:r>
              <w:rPr>
                <w:b/>
              </w:rPr>
              <w:t>Likelihood</w:t>
            </w:r>
          </w:p>
        </w:tc>
        <w:tc>
          <w:tcPr>
            <w:tcW w:w="1728" w:type="dxa"/>
            <w:shd w:val="clear" w:color="auto" w:fill="D9E1F2"/>
          </w:tcPr>
          <w:p w14:paraId="481F681D" w14:textId="77777777" w:rsidR="00DA614A" w:rsidRDefault="00000000">
            <w:r>
              <w:rPr>
                <w:b/>
              </w:rPr>
              <w:t>Impact</w:t>
            </w:r>
          </w:p>
        </w:tc>
        <w:tc>
          <w:tcPr>
            <w:tcW w:w="1728" w:type="dxa"/>
            <w:shd w:val="clear" w:color="auto" w:fill="D9E1F2"/>
          </w:tcPr>
          <w:p w14:paraId="77E9FC3F" w14:textId="77777777" w:rsidR="00DA614A" w:rsidRDefault="00000000">
            <w:r>
              <w:rPr>
                <w:b/>
              </w:rPr>
              <w:t>Mitigation</w:t>
            </w:r>
          </w:p>
        </w:tc>
      </w:tr>
      <w:tr w:rsidR="00DA614A" w14:paraId="11537D45" w14:textId="77777777">
        <w:tc>
          <w:tcPr>
            <w:tcW w:w="1728" w:type="dxa"/>
          </w:tcPr>
          <w:p w14:paraId="2CE35998" w14:textId="77777777" w:rsidR="00DA614A" w:rsidRDefault="00000000">
            <w:r>
              <w:t>1</w:t>
            </w:r>
          </w:p>
        </w:tc>
        <w:tc>
          <w:tcPr>
            <w:tcW w:w="1728" w:type="dxa"/>
          </w:tcPr>
          <w:p w14:paraId="28F0D46B" w14:textId="77777777" w:rsidR="00DA614A" w:rsidRDefault="00000000">
            <w:r>
              <w:t>Salesforce sandbox access delay blocks all CRM integration development</w:t>
            </w:r>
          </w:p>
        </w:tc>
        <w:tc>
          <w:tcPr>
            <w:tcW w:w="1728" w:type="dxa"/>
          </w:tcPr>
          <w:p w14:paraId="3A11C930" w14:textId="77777777" w:rsidR="00DA614A" w:rsidRDefault="00000000">
            <w:r>
              <w:t>High (Confirmed)</w:t>
            </w:r>
          </w:p>
        </w:tc>
        <w:tc>
          <w:tcPr>
            <w:tcW w:w="1728" w:type="dxa"/>
          </w:tcPr>
          <w:p w14:paraId="576018BE" w14:textId="77777777" w:rsidR="00DA614A" w:rsidRDefault="00000000">
            <w:r>
              <w:t>Critical</w:t>
            </w:r>
          </w:p>
        </w:tc>
        <w:tc>
          <w:tcPr>
            <w:tcW w:w="1728" w:type="dxa"/>
          </w:tcPr>
          <w:p w14:paraId="1CA216DA" w14:textId="77777777" w:rsidR="00DA614A" w:rsidRDefault="00000000">
            <w:r>
              <w:t>Escalation raised; vendor account executive contacted March 24</w:t>
            </w:r>
          </w:p>
        </w:tc>
      </w:tr>
      <w:tr w:rsidR="00DA614A" w14:paraId="71E1583B" w14:textId="77777777">
        <w:tc>
          <w:tcPr>
            <w:tcW w:w="1728" w:type="dxa"/>
          </w:tcPr>
          <w:p w14:paraId="4AF96BE6" w14:textId="77777777" w:rsidR="00DA614A" w:rsidRDefault="00000000">
            <w:r>
              <w:t>2</w:t>
            </w:r>
          </w:p>
        </w:tc>
        <w:tc>
          <w:tcPr>
            <w:tcW w:w="1728" w:type="dxa"/>
          </w:tcPr>
          <w:p w14:paraId="5DAD3A5C" w14:textId="77777777" w:rsidR="00DA614A" w:rsidRDefault="00000000">
            <w:r>
              <w:t>SAP ERP API documentation incomplete for key endpoints</w:t>
            </w:r>
          </w:p>
        </w:tc>
        <w:tc>
          <w:tcPr>
            <w:tcW w:w="1728" w:type="dxa"/>
          </w:tcPr>
          <w:p w14:paraId="59A4B329" w14:textId="77777777" w:rsidR="00DA614A" w:rsidRDefault="00000000">
            <w:r>
              <w:t>High</w:t>
            </w:r>
          </w:p>
        </w:tc>
        <w:tc>
          <w:tcPr>
            <w:tcW w:w="1728" w:type="dxa"/>
          </w:tcPr>
          <w:p w14:paraId="1E7A20A3" w14:textId="77777777" w:rsidR="00DA614A" w:rsidRDefault="00000000">
            <w:r>
              <w:t>High</w:t>
            </w:r>
          </w:p>
        </w:tc>
        <w:tc>
          <w:tcPr>
            <w:tcW w:w="1728" w:type="dxa"/>
          </w:tcPr>
          <w:p w14:paraId="4E42C08A" w14:textId="77777777" w:rsidR="00DA614A" w:rsidRDefault="00000000">
            <w:r>
              <w:t>Pairing session requested with SAP consulting partner</w:t>
            </w:r>
          </w:p>
        </w:tc>
      </w:tr>
      <w:tr w:rsidR="00DA614A" w14:paraId="042E68A8" w14:textId="77777777">
        <w:tc>
          <w:tcPr>
            <w:tcW w:w="1728" w:type="dxa"/>
          </w:tcPr>
          <w:p w14:paraId="6D02B110" w14:textId="77777777" w:rsidR="00DA614A" w:rsidRDefault="00000000">
            <w:r>
              <w:t>3</w:t>
            </w:r>
          </w:p>
        </w:tc>
        <w:tc>
          <w:tcPr>
            <w:tcW w:w="1728" w:type="dxa"/>
          </w:tcPr>
          <w:p w14:paraId="1B4FA6BB" w14:textId="77777777" w:rsidR="00DA614A" w:rsidRDefault="00000000">
            <w:r>
              <w:t>Stripe API breaking change (webhook format) effective June 1, 2026</w:t>
            </w:r>
          </w:p>
        </w:tc>
        <w:tc>
          <w:tcPr>
            <w:tcW w:w="1728" w:type="dxa"/>
          </w:tcPr>
          <w:p w14:paraId="59BC0768" w14:textId="77777777" w:rsidR="00DA614A" w:rsidRDefault="00000000">
            <w:r>
              <w:t>High</w:t>
            </w:r>
          </w:p>
        </w:tc>
        <w:tc>
          <w:tcPr>
            <w:tcW w:w="1728" w:type="dxa"/>
          </w:tcPr>
          <w:p w14:paraId="1D7518D2" w14:textId="77777777" w:rsidR="00DA614A" w:rsidRDefault="00000000">
            <w:r>
              <w:t>High</w:t>
            </w:r>
          </w:p>
        </w:tc>
        <w:tc>
          <w:tcPr>
            <w:tcW w:w="1728" w:type="dxa"/>
          </w:tcPr>
          <w:p w14:paraId="3045E351" w14:textId="77777777" w:rsidR="00DA614A" w:rsidRDefault="00000000">
            <w:r>
              <w:t>Rework scoped; must complete before June 1 go-live milestone</w:t>
            </w:r>
          </w:p>
        </w:tc>
      </w:tr>
      <w:tr w:rsidR="00DA614A" w14:paraId="64974AF2" w14:textId="77777777">
        <w:tc>
          <w:tcPr>
            <w:tcW w:w="1728" w:type="dxa"/>
          </w:tcPr>
          <w:p w14:paraId="03719A6D" w14:textId="77777777" w:rsidR="00DA614A" w:rsidRDefault="00000000">
            <w:r>
              <w:t>4</w:t>
            </w:r>
          </w:p>
        </w:tc>
        <w:tc>
          <w:tcPr>
            <w:tcW w:w="1728" w:type="dxa"/>
          </w:tcPr>
          <w:p w14:paraId="383DED36" w14:textId="77777777" w:rsidR="00DA614A" w:rsidRDefault="00000000">
            <w:r>
              <w:t>Bi-directional CRM sync may create data conflicts under concurrent updates</w:t>
            </w:r>
          </w:p>
        </w:tc>
        <w:tc>
          <w:tcPr>
            <w:tcW w:w="1728" w:type="dxa"/>
          </w:tcPr>
          <w:p w14:paraId="3AC21180" w14:textId="77777777" w:rsidR="00DA614A" w:rsidRDefault="00000000">
            <w:r>
              <w:t>Medium</w:t>
            </w:r>
          </w:p>
        </w:tc>
        <w:tc>
          <w:tcPr>
            <w:tcW w:w="1728" w:type="dxa"/>
          </w:tcPr>
          <w:p w14:paraId="42263005" w14:textId="77777777" w:rsidR="00DA614A" w:rsidRDefault="00000000">
            <w:r>
              <w:t>High</w:t>
            </w:r>
          </w:p>
        </w:tc>
        <w:tc>
          <w:tcPr>
            <w:tcW w:w="1728" w:type="dxa"/>
          </w:tcPr>
          <w:p w14:paraId="4E0D0575" w14:textId="77777777" w:rsidR="00DA614A" w:rsidRDefault="00000000">
            <w:r>
              <w:t>Architecture decision on conflict resolution strategy pending</w:t>
            </w:r>
          </w:p>
        </w:tc>
      </w:tr>
      <w:tr w:rsidR="00DA614A" w14:paraId="1794BC3D" w14:textId="77777777">
        <w:tc>
          <w:tcPr>
            <w:tcW w:w="1728" w:type="dxa"/>
          </w:tcPr>
          <w:p w14:paraId="1B22FFE8" w14:textId="77777777" w:rsidR="00DA614A" w:rsidRDefault="00000000">
            <w:r>
              <w:t>5</w:t>
            </w:r>
          </w:p>
        </w:tc>
        <w:tc>
          <w:tcPr>
            <w:tcW w:w="1728" w:type="dxa"/>
          </w:tcPr>
          <w:p w14:paraId="28C02087" w14:textId="77777777" w:rsidR="00DA614A" w:rsidRDefault="00000000">
            <w:r>
              <w:t>Stripe sandbox rate limits (100 req/s) insufficient for load testing</w:t>
            </w:r>
          </w:p>
        </w:tc>
        <w:tc>
          <w:tcPr>
            <w:tcW w:w="1728" w:type="dxa"/>
          </w:tcPr>
          <w:p w14:paraId="6DACAC30" w14:textId="77777777" w:rsidR="00DA614A" w:rsidRDefault="00000000">
            <w:r>
              <w:t>Medium</w:t>
            </w:r>
          </w:p>
        </w:tc>
        <w:tc>
          <w:tcPr>
            <w:tcW w:w="1728" w:type="dxa"/>
          </w:tcPr>
          <w:p w14:paraId="1456A2C7" w14:textId="77777777" w:rsidR="00DA614A" w:rsidRDefault="00000000">
            <w:r>
              <w:t>Medium</w:t>
            </w:r>
          </w:p>
        </w:tc>
        <w:tc>
          <w:tcPr>
            <w:tcW w:w="1728" w:type="dxa"/>
          </w:tcPr>
          <w:p w14:paraId="5AAF7127" w14:textId="77777777" w:rsidR="00DA614A" w:rsidRDefault="00000000">
            <w:r>
              <w:t>Higher-tier sandbox account request submitted to Stripe</w:t>
            </w:r>
          </w:p>
        </w:tc>
      </w:tr>
    </w:tbl>
    <w:p w14:paraId="4006262F" w14:textId="77777777" w:rsidR="00DA614A" w:rsidRDefault="00DA614A">
      <w:pPr>
        <w:pBdr>
          <w:bottom w:val="single" w:sz="6" w:space="1" w:color="4472C4"/>
        </w:pBdr>
      </w:pPr>
    </w:p>
    <w:p w14:paraId="46F3B17D" w14:textId="77777777" w:rsidR="00DA614A" w:rsidRDefault="00000000">
      <w:pPr>
        <w:pStyle w:val="Heading2"/>
      </w:pPr>
      <w:r>
        <w:rPr>
          <w:color w:val="2F5496"/>
        </w:rPr>
        <w:t>Blockers</w:t>
      </w:r>
    </w:p>
    <w:p w14:paraId="0DECEF24" w14:textId="77777777" w:rsidR="00DA614A" w:rsidRDefault="00000000">
      <w:pPr>
        <w:pStyle w:val="ListNumber"/>
      </w:pPr>
      <w:r>
        <w:rPr>
          <w:b/>
        </w:rPr>
        <w:t>Salesforce Sandbox Access – 3 Weeks Overdue (Critical)</w:t>
      </w:r>
    </w:p>
    <w:p w14:paraId="559EECAD" w14:textId="77777777" w:rsidR="00DA614A" w:rsidRDefault="00000000">
      <w:r>
        <w:lastRenderedPageBreak/>
        <w:t>The Salesforce CRM sandbox environment was requested on March 3. As of March 31, provisioning has not been completed despite three internal escalations and one vendor support ticket (#SF-204891, opened March 10). The Integrations team cannot develop, test, or validate any CRM synchronisation functionality without sandbox access. This represents the most significant schedule risk on the project. The CRM sync feature is on the critical path for go-live.</w:t>
      </w:r>
    </w:p>
    <w:p w14:paraId="4CEA9651" w14:textId="77777777" w:rsidR="00DA614A" w:rsidRDefault="00000000">
      <w:pPr>
        <w:pStyle w:val="ListNumber"/>
      </w:pPr>
      <w:r>
        <w:rPr>
          <w:b/>
        </w:rPr>
        <w:t>SAP ERP API Documentation Incomplete (Active)</w:t>
      </w:r>
    </w:p>
    <w:p w14:paraId="5E9589B9" w14:textId="77777777" w:rsidR="00DA614A" w:rsidRDefault="00000000">
      <w:r>
        <w:t>The SAP consulting partner has provided documentation for the ERP integration, but the /OrderStatus and /InventoryCheck endpoints are missing request/response schemas, error code definitions, and pagination details. Development against these endpoints carries a high risk of rework. Three requests to the SAP partner for complete documentation have received partial responses.</w:t>
      </w:r>
    </w:p>
    <w:p w14:paraId="29D1786B" w14:textId="77777777" w:rsidR="00DA614A" w:rsidRDefault="00000000">
      <w:pPr>
        <w:pStyle w:val="ListNumber"/>
      </w:pPr>
      <w:r>
        <w:rPr>
          <w:b/>
        </w:rPr>
        <w:t>Staging Environment Conflicts (Active)</w:t>
      </w:r>
    </w:p>
    <w:p w14:paraId="64055E29" w14:textId="77777777" w:rsidR="00DA614A" w:rsidRDefault="00000000">
      <w:r>
        <w:t>The shared staging environment is causing integration test deployment conflicts with the Backend Dev team (2–3 conflicts per week). Each conflict requires coordination overhead to resolve and interrupts test runs.</w:t>
      </w:r>
    </w:p>
    <w:p w14:paraId="3CFA3B10" w14:textId="77777777" w:rsidR="00DA614A" w:rsidRDefault="00DA614A">
      <w:pPr>
        <w:pBdr>
          <w:bottom w:val="single" w:sz="6" w:space="1" w:color="4472C4"/>
        </w:pBdr>
      </w:pPr>
    </w:p>
    <w:p w14:paraId="66B8AB6D" w14:textId="77777777" w:rsidR="00DA614A" w:rsidRDefault="00000000">
      <w:pPr>
        <w:pStyle w:val="Heading2"/>
      </w:pPr>
      <w:r>
        <w:rPr>
          <w:color w:val="2F5496"/>
        </w:rPr>
        <w:t>Leadership Asks</w:t>
      </w:r>
    </w:p>
    <w:p w14:paraId="559573E6" w14:textId="77777777" w:rsidR="00DA614A" w:rsidRDefault="00000000">
      <w:pPr>
        <w:pStyle w:val="ListNumber"/>
      </w:pPr>
      <w:r>
        <w:rPr>
          <w:b/>
        </w:rPr>
        <w:t>Escalate Salesforce Sandbox Access to Vendor Executive Sponsor</w:t>
      </w:r>
    </w:p>
    <w:p w14:paraId="618C2FB2" w14:textId="77777777" w:rsidR="00DA614A" w:rsidRDefault="00000000">
      <w:r>
        <w:t>Request that senior management contacts the Salesforce account executive directly to unblock sandbox provisioning. Support ticket #SF-204891 has been open for 23 days without resolution. Every week of delay pushes CRM integration delivery back by one week, directly threatening the May 2 integration milestone. If not resolved by April 7, a formal project risk escalation will be required.</w:t>
      </w:r>
    </w:p>
    <w:p w14:paraId="5A0EA424" w14:textId="77777777" w:rsidR="00DA614A" w:rsidRDefault="00000000">
      <w:pPr>
        <w:pStyle w:val="ListNumber"/>
      </w:pPr>
      <w:r>
        <w:rPr>
          <w:b/>
        </w:rPr>
        <w:t>Architecture Decision: Real-time vs. Batch CRM Sync</w:t>
      </w:r>
    </w:p>
    <w:p w14:paraId="7EBBE92B" w14:textId="77777777" w:rsidR="00DA614A" w:rsidRDefault="00000000">
      <w:r>
        <w:t>A formal decision from leadership is required on the CRM data synchronisation approach:</w:t>
      </w:r>
    </w:p>
    <w:p w14:paraId="09ED0CA3" w14:textId="77777777" w:rsidR="00DA614A" w:rsidRDefault="00000000">
      <w:pPr>
        <w:pStyle w:val="ListBullet2"/>
      </w:pPr>
      <w:r>
        <w:rPr>
          <w:b/>
        </w:rPr>
        <w:t>Real-time (webhooks):</w:t>
      </w:r>
      <w:r>
        <w:t xml:space="preserve"> Lower data latency (&lt;30 seconds), higher complexity and infrastructure cost (~$650/month additional).</w:t>
      </w:r>
    </w:p>
    <w:p w14:paraId="660A7FFC" w14:textId="77777777" w:rsidR="00DA614A" w:rsidRDefault="00000000">
      <w:pPr>
        <w:pStyle w:val="ListBullet2"/>
      </w:pPr>
      <w:r>
        <w:rPr>
          <w:b/>
        </w:rPr>
        <w:t>Batch (scheduled jobs):</w:t>
      </w:r>
      <w:r>
        <w:t xml:space="preserve"> Up to 5-minute data lag, simpler to implement and maintain, lower cost.</w:t>
      </w:r>
    </w:p>
    <w:p w14:paraId="3BDCDE48" w14:textId="77777777" w:rsidR="00DA614A" w:rsidRDefault="00000000">
      <w:r>
        <w:t xml:space="preserve">Team recommendation: Implement </w:t>
      </w:r>
      <w:r>
        <w:rPr>
          <w:b/>
        </w:rPr>
        <w:t>batch sync for V1</w:t>
      </w:r>
      <w:r>
        <w:t xml:space="preserve"> (April–July) with real-time sync targeted for V2 post go-live to reduce risk.</w:t>
      </w:r>
    </w:p>
    <w:p w14:paraId="2348540A" w14:textId="77777777" w:rsidR="00DA614A" w:rsidRDefault="00000000">
      <w:pPr>
        <w:pStyle w:val="ListNumber"/>
      </w:pPr>
      <w:r>
        <w:rPr>
          <w:b/>
        </w:rPr>
        <w:t>SAP Consulting Partner Escalation</w:t>
      </w:r>
    </w:p>
    <w:p w14:paraId="28CCBBFB" w14:textId="77777777" w:rsidR="00DA614A" w:rsidRDefault="00000000">
      <w:r>
        <w:lastRenderedPageBreak/>
        <w:t>Request that the project sponsor formally requests the SAP consulting partner provide complete API documentation (all endpoints) within 5 business days, or assign a technical resource to pair with the Integrations team for one sprint.</w:t>
      </w:r>
    </w:p>
    <w:p w14:paraId="51545670" w14:textId="77777777" w:rsidR="00DA614A" w:rsidRDefault="00DA614A">
      <w:pPr>
        <w:pBdr>
          <w:bottom w:val="single" w:sz="6" w:space="1" w:color="4472C4"/>
        </w:pBdr>
      </w:pPr>
    </w:p>
    <w:p w14:paraId="2B84E0C1" w14:textId="77777777" w:rsidR="00DA614A" w:rsidRDefault="00000000">
      <w:pPr>
        <w:pStyle w:val="Heading2"/>
      </w:pPr>
      <w:r>
        <w:rPr>
          <w:color w:val="2F5496"/>
        </w:rPr>
        <w:t>Delayed Tasks</w:t>
      </w:r>
    </w:p>
    <w:tbl>
      <w:tblPr>
        <w:tblStyle w:val="TableGrid"/>
        <w:tblW w:w="0" w:type="auto"/>
        <w:tblLook w:val="04A0" w:firstRow="1" w:lastRow="0" w:firstColumn="1" w:lastColumn="0" w:noHBand="0" w:noVBand="1"/>
      </w:tblPr>
      <w:tblGrid>
        <w:gridCol w:w="1728"/>
        <w:gridCol w:w="1728"/>
        <w:gridCol w:w="1728"/>
        <w:gridCol w:w="1728"/>
        <w:gridCol w:w="1728"/>
      </w:tblGrid>
      <w:tr w:rsidR="00DA614A" w14:paraId="0DA1A5A3" w14:textId="77777777">
        <w:tc>
          <w:tcPr>
            <w:tcW w:w="1728" w:type="dxa"/>
            <w:shd w:val="clear" w:color="auto" w:fill="D9E1F2"/>
          </w:tcPr>
          <w:p w14:paraId="23AF0C54" w14:textId="77777777" w:rsidR="00DA614A" w:rsidRDefault="00000000">
            <w:r>
              <w:rPr>
                <w:b/>
              </w:rPr>
              <w:t>Task</w:t>
            </w:r>
          </w:p>
        </w:tc>
        <w:tc>
          <w:tcPr>
            <w:tcW w:w="1728" w:type="dxa"/>
            <w:shd w:val="clear" w:color="auto" w:fill="D9E1F2"/>
          </w:tcPr>
          <w:p w14:paraId="0D78BF8C" w14:textId="77777777" w:rsidR="00DA614A" w:rsidRDefault="00000000">
            <w:r>
              <w:rPr>
                <w:b/>
              </w:rPr>
              <w:t>Original Due Date</w:t>
            </w:r>
          </w:p>
        </w:tc>
        <w:tc>
          <w:tcPr>
            <w:tcW w:w="1728" w:type="dxa"/>
            <w:shd w:val="clear" w:color="auto" w:fill="D9E1F2"/>
          </w:tcPr>
          <w:p w14:paraId="6C5906D8" w14:textId="77777777" w:rsidR="00DA614A" w:rsidRDefault="00000000">
            <w:r>
              <w:rPr>
                <w:b/>
              </w:rPr>
              <w:t>Current Status</w:t>
            </w:r>
          </w:p>
        </w:tc>
        <w:tc>
          <w:tcPr>
            <w:tcW w:w="1728" w:type="dxa"/>
            <w:shd w:val="clear" w:color="auto" w:fill="D9E1F2"/>
          </w:tcPr>
          <w:p w14:paraId="2E687405" w14:textId="77777777" w:rsidR="00DA614A" w:rsidRDefault="00000000">
            <w:r>
              <w:rPr>
                <w:b/>
              </w:rPr>
              <w:t>Delay</w:t>
            </w:r>
          </w:p>
        </w:tc>
        <w:tc>
          <w:tcPr>
            <w:tcW w:w="1728" w:type="dxa"/>
            <w:shd w:val="clear" w:color="auto" w:fill="D9E1F2"/>
          </w:tcPr>
          <w:p w14:paraId="7837BEDA" w14:textId="77777777" w:rsidR="00DA614A" w:rsidRDefault="00000000">
            <w:r>
              <w:rPr>
                <w:b/>
              </w:rPr>
              <w:t>Root Cause</w:t>
            </w:r>
          </w:p>
        </w:tc>
      </w:tr>
      <w:tr w:rsidR="00DA614A" w14:paraId="67D0E8C4" w14:textId="77777777">
        <w:tc>
          <w:tcPr>
            <w:tcW w:w="1728" w:type="dxa"/>
          </w:tcPr>
          <w:p w14:paraId="0D5C1C2F" w14:textId="77777777" w:rsidR="00DA614A" w:rsidRDefault="00000000">
            <w:r>
              <w:t>Salesforce CRM Contact Sync</w:t>
            </w:r>
          </w:p>
        </w:tc>
        <w:tc>
          <w:tcPr>
            <w:tcW w:w="1728" w:type="dxa"/>
          </w:tcPr>
          <w:p w14:paraId="21B1F2DF" w14:textId="77777777" w:rsidR="00DA614A" w:rsidRDefault="00000000">
            <w:r>
              <w:t>March 14</w:t>
            </w:r>
          </w:p>
        </w:tc>
        <w:tc>
          <w:tcPr>
            <w:tcW w:w="1728" w:type="dxa"/>
          </w:tcPr>
          <w:p w14:paraId="42BF068A" w14:textId="77777777" w:rsidR="00DA614A" w:rsidRDefault="00000000">
            <w:r>
              <w:t>Blocked (0%)</w:t>
            </w:r>
          </w:p>
        </w:tc>
        <w:tc>
          <w:tcPr>
            <w:tcW w:w="1728" w:type="dxa"/>
          </w:tcPr>
          <w:p w14:paraId="356AB872" w14:textId="77777777" w:rsidR="00DA614A" w:rsidRDefault="00000000">
            <w:r>
              <w:t>2.5 weeks</w:t>
            </w:r>
          </w:p>
        </w:tc>
        <w:tc>
          <w:tcPr>
            <w:tcW w:w="1728" w:type="dxa"/>
          </w:tcPr>
          <w:p w14:paraId="5A32BEDC" w14:textId="77777777" w:rsidR="00DA614A" w:rsidRDefault="00000000">
            <w:r>
              <w:t>Sandbox access not provisioned</w:t>
            </w:r>
          </w:p>
        </w:tc>
      </w:tr>
      <w:tr w:rsidR="00DA614A" w14:paraId="1E41AD2B" w14:textId="77777777">
        <w:tc>
          <w:tcPr>
            <w:tcW w:w="1728" w:type="dxa"/>
          </w:tcPr>
          <w:p w14:paraId="547EA827" w14:textId="77777777" w:rsidR="00DA614A" w:rsidRDefault="00000000">
            <w:r>
              <w:t>Salesforce CRM Account Sync</w:t>
            </w:r>
          </w:p>
        </w:tc>
        <w:tc>
          <w:tcPr>
            <w:tcW w:w="1728" w:type="dxa"/>
          </w:tcPr>
          <w:p w14:paraId="1A05D12A" w14:textId="77777777" w:rsidR="00DA614A" w:rsidRDefault="00000000">
            <w:r>
              <w:t>March 21</w:t>
            </w:r>
          </w:p>
        </w:tc>
        <w:tc>
          <w:tcPr>
            <w:tcW w:w="1728" w:type="dxa"/>
          </w:tcPr>
          <w:p w14:paraId="6C35E86F" w14:textId="77777777" w:rsidR="00DA614A" w:rsidRDefault="00000000">
            <w:r>
              <w:t>Blocked (0%)</w:t>
            </w:r>
          </w:p>
        </w:tc>
        <w:tc>
          <w:tcPr>
            <w:tcW w:w="1728" w:type="dxa"/>
          </w:tcPr>
          <w:p w14:paraId="6B22E2A8" w14:textId="77777777" w:rsidR="00DA614A" w:rsidRDefault="00000000">
            <w:r>
              <w:t>10 days</w:t>
            </w:r>
          </w:p>
        </w:tc>
        <w:tc>
          <w:tcPr>
            <w:tcW w:w="1728" w:type="dxa"/>
          </w:tcPr>
          <w:p w14:paraId="345E3C72" w14:textId="77777777" w:rsidR="00DA614A" w:rsidRDefault="00000000">
            <w:r>
              <w:t>Sandbox access not provisioned</w:t>
            </w:r>
          </w:p>
        </w:tc>
      </w:tr>
      <w:tr w:rsidR="00DA614A" w14:paraId="39EB048E" w14:textId="77777777">
        <w:tc>
          <w:tcPr>
            <w:tcW w:w="1728" w:type="dxa"/>
          </w:tcPr>
          <w:p w14:paraId="589D1699" w14:textId="77777777" w:rsidR="00DA614A" w:rsidRDefault="00000000">
            <w:r>
              <w:t>SAP Order Status Integration</w:t>
            </w:r>
          </w:p>
        </w:tc>
        <w:tc>
          <w:tcPr>
            <w:tcW w:w="1728" w:type="dxa"/>
          </w:tcPr>
          <w:p w14:paraId="1D78CC77" w14:textId="77777777" w:rsidR="00DA614A" w:rsidRDefault="00000000">
            <w:r>
              <w:t>March 21</w:t>
            </w:r>
          </w:p>
        </w:tc>
        <w:tc>
          <w:tcPr>
            <w:tcW w:w="1728" w:type="dxa"/>
          </w:tcPr>
          <w:p w14:paraId="3E48C5C0" w14:textId="77777777" w:rsidR="00DA614A" w:rsidRDefault="00000000">
            <w:r>
              <w:t>In Progress (20%)</w:t>
            </w:r>
          </w:p>
        </w:tc>
        <w:tc>
          <w:tcPr>
            <w:tcW w:w="1728" w:type="dxa"/>
          </w:tcPr>
          <w:p w14:paraId="08D72C66" w14:textId="77777777" w:rsidR="00DA614A" w:rsidRDefault="00000000">
            <w:r>
              <w:t>10 days</w:t>
            </w:r>
          </w:p>
        </w:tc>
        <w:tc>
          <w:tcPr>
            <w:tcW w:w="1728" w:type="dxa"/>
          </w:tcPr>
          <w:p w14:paraId="41CEE9C5" w14:textId="77777777" w:rsidR="00DA614A" w:rsidRDefault="00000000">
            <w:r>
              <w:t>Incomplete API documentation</w:t>
            </w:r>
          </w:p>
        </w:tc>
      </w:tr>
      <w:tr w:rsidR="00DA614A" w14:paraId="44194A7E" w14:textId="77777777">
        <w:tc>
          <w:tcPr>
            <w:tcW w:w="1728" w:type="dxa"/>
          </w:tcPr>
          <w:p w14:paraId="081A9B33" w14:textId="77777777" w:rsidR="00DA614A" w:rsidRDefault="00000000">
            <w:r>
              <w:t>Stripe Payment Webhook Handler</w:t>
            </w:r>
          </w:p>
        </w:tc>
        <w:tc>
          <w:tcPr>
            <w:tcW w:w="1728" w:type="dxa"/>
          </w:tcPr>
          <w:p w14:paraId="7FC09E4F" w14:textId="77777777" w:rsidR="00DA614A" w:rsidRDefault="00000000">
            <w:r>
              <w:t>March 28</w:t>
            </w:r>
          </w:p>
        </w:tc>
        <w:tc>
          <w:tcPr>
            <w:tcW w:w="1728" w:type="dxa"/>
          </w:tcPr>
          <w:p w14:paraId="1B86320A" w14:textId="77777777" w:rsidR="00DA614A" w:rsidRDefault="00000000">
            <w:r>
              <w:t>In Progress (60%)</w:t>
            </w:r>
          </w:p>
        </w:tc>
        <w:tc>
          <w:tcPr>
            <w:tcW w:w="1728" w:type="dxa"/>
          </w:tcPr>
          <w:p w14:paraId="063A6E7F" w14:textId="77777777" w:rsidR="00DA614A" w:rsidRDefault="00000000">
            <w:r>
              <w:t>3 days</w:t>
            </w:r>
          </w:p>
        </w:tc>
        <w:tc>
          <w:tcPr>
            <w:tcW w:w="1728" w:type="dxa"/>
          </w:tcPr>
          <w:p w14:paraId="0AADAED8" w14:textId="77777777" w:rsidR="00DA614A" w:rsidRDefault="00000000">
            <w:r>
              <w:t>Pending deprecation decision for June format change</w:t>
            </w:r>
          </w:p>
        </w:tc>
      </w:tr>
      <w:tr w:rsidR="00DA614A" w14:paraId="6E3E1413" w14:textId="77777777">
        <w:tc>
          <w:tcPr>
            <w:tcW w:w="1728" w:type="dxa"/>
          </w:tcPr>
          <w:p w14:paraId="194B9C31" w14:textId="77777777" w:rsidR="00DA614A" w:rsidRDefault="00000000">
            <w:r>
              <w:t>Integration Test Suite – CRM Flows</w:t>
            </w:r>
          </w:p>
        </w:tc>
        <w:tc>
          <w:tcPr>
            <w:tcW w:w="1728" w:type="dxa"/>
          </w:tcPr>
          <w:p w14:paraId="04B3C42B" w14:textId="77777777" w:rsidR="00DA614A" w:rsidRDefault="00000000">
            <w:r>
              <w:t>March 31</w:t>
            </w:r>
          </w:p>
        </w:tc>
        <w:tc>
          <w:tcPr>
            <w:tcW w:w="1728" w:type="dxa"/>
          </w:tcPr>
          <w:p w14:paraId="7F795A38" w14:textId="77777777" w:rsidR="00DA614A" w:rsidRDefault="00000000">
            <w:r>
              <w:t>Blocked (0%)</w:t>
            </w:r>
          </w:p>
        </w:tc>
        <w:tc>
          <w:tcPr>
            <w:tcW w:w="1728" w:type="dxa"/>
          </w:tcPr>
          <w:p w14:paraId="6D8703D0" w14:textId="77777777" w:rsidR="00DA614A" w:rsidRDefault="00000000">
            <w:r>
              <w:t>At risk</w:t>
            </w:r>
          </w:p>
        </w:tc>
        <w:tc>
          <w:tcPr>
            <w:tcW w:w="1728" w:type="dxa"/>
          </w:tcPr>
          <w:p w14:paraId="6FAA2AEF" w14:textId="77777777" w:rsidR="00DA614A" w:rsidRDefault="00000000">
            <w:r>
              <w:t>Dependent on Salesforce sandbox</w:t>
            </w:r>
          </w:p>
        </w:tc>
      </w:tr>
    </w:tbl>
    <w:p w14:paraId="5E95037A" w14:textId="77777777" w:rsidR="00DA614A" w:rsidRDefault="00DA614A">
      <w:pPr>
        <w:pBdr>
          <w:bottom w:val="single" w:sz="6" w:space="1" w:color="4472C4"/>
        </w:pBdr>
      </w:pPr>
    </w:p>
    <w:p w14:paraId="15B352CA" w14:textId="77777777" w:rsidR="00DA614A" w:rsidRDefault="00000000">
      <w:pPr>
        <w:pStyle w:val="Heading2"/>
      </w:pPr>
      <w:r>
        <w:rPr>
          <w:color w:val="2F5496"/>
        </w:rPr>
        <w:t>Summary</w:t>
      </w:r>
    </w:p>
    <w:p w14:paraId="1B7BBF57" w14:textId="77777777" w:rsidR="00DA614A" w:rsidRDefault="00000000">
      <w:r>
        <w:t xml:space="preserve">The Integrations stream delivered strongly on </w:t>
      </w:r>
      <w:r>
        <w:rPr>
          <w:b/>
        </w:rPr>
        <w:t>architecture and infrastructure</w:t>
      </w:r>
      <w:r>
        <w:t xml:space="preserve"> in February, and this foundation work has continued in March. The Azure Service Bus infrastructure is operational, the integration framework (base adapter, circuit breaker, retry pattern) is complete, and the Stripe payment processing integration is 60% complete — the furthest-progressed of the three third-party integrations.</w:t>
      </w:r>
    </w:p>
    <w:p w14:paraId="756829AB" w14:textId="77777777" w:rsidR="00DA614A" w:rsidRDefault="00000000">
      <w:r>
        <w:t>However, March progress has been severely impacted by the Salesforce access blocker. All CRM synchronisation work — which encompasses 40% of the total Integrations stream scope — remains at 0% with no development possible until sandbox access is granted. The SAP documentation gaps have further slowed ERP integration work.</w:t>
      </w:r>
    </w:p>
    <w:p w14:paraId="381386BF" w14:textId="77777777" w:rsidR="00DA614A" w:rsidRDefault="00000000">
      <w:r>
        <w:rPr>
          <w:b/>
        </w:rPr>
        <w:t>Productive use of blocked time:</w:t>
      </w:r>
      <w:r>
        <w:t xml:space="preserve"> The team used bandwidth freed by the Salesforce blocker to complete the integration health monitoring dashboard (internal tooling), data transformation utility library, and integration contract test framework — all valuable investments that will accelerate delivery once blockers are resolved.</w:t>
      </w:r>
    </w:p>
    <w:p w14:paraId="60253084" w14:textId="77777777" w:rsidR="00DA614A" w:rsidRDefault="00000000">
      <w:r>
        <w:rPr>
          <w:b/>
        </w:rPr>
        <w:t>Milestone at risk:</w:t>
      </w:r>
      <w:r>
        <w:t xml:space="preserve"> The CRM integration milestone is currently planned for May 2, 2026. Without Salesforce access by April 7, this milestone will be missed, and the overall project go-live date of September 2026 is at risk. A contingency plan involving CRM integration scope reduction for V1 is being prepared for review.</w:t>
      </w:r>
    </w:p>
    <w:p w14:paraId="0DC31DB6" w14:textId="77777777" w:rsidR="00DA614A" w:rsidRDefault="00000000">
      <w:r>
        <w:rPr>
          <w:b/>
        </w:rPr>
        <w:lastRenderedPageBreak/>
        <w:t>Outlook for April:</w:t>
      </w:r>
      <w:r>
        <w:t xml:space="preserve"> If Salesforce access is granted by April 7 and the batch vs. real-time sync decision is made by April 4, the team can recover approximately 2 weeks by running CRM and SAP integration work in parallel using the completed integration framework. Full recovery to plan requires these two actions.</w:t>
      </w:r>
    </w:p>
    <w:sectPr w:rsidR="00DA614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3943589">
    <w:abstractNumId w:val="8"/>
  </w:num>
  <w:num w:numId="2" w16cid:durableId="1681620234">
    <w:abstractNumId w:val="6"/>
  </w:num>
  <w:num w:numId="3" w16cid:durableId="314191397">
    <w:abstractNumId w:val="5"/>
  </w:num>
  <w:num w:numId="4" w16cid:durableId="11032125">
    <w:abstractNumId w:val="4"/>
  </w:num>
  <w:num w:numId="5" w16cid:durableId="1373965370">
    <w:abstractNumId w:val="7"/>
  </w:num>
  <w:num w:numId="6" w16cid:durableId="2037539515">
    <w:abstractNumId w:val="3"/>
  </w:num>
  <w:num w:numId="7" w16cid:durableId="521282716">
    <w:abstractNumId w:val="2"/>
  </w:num>
  <w:num w:numId="8" w16cid:durableId="1687559271">
    <w:abstractNumId w:val="1"/>
  </w:num>
  <w:num w:numId="9" w16cid:durableId="754983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048F1"/>
    <w:rsid w:val="00AA1D8D"/>
    <w:rsid w:val="00B47730"/>
    <w:rsid w:val="00CB0664"/>
    <w:rsid w:val="00D534D8"/>
    <w:rsid w:val="00DA61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84461A"/>
  <w14:defaultImageDpi w14:val="300"/>
  <w15:docId w15:val="{93517ECD-E567-4CFA-9867-ED44DFEE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4</Pages>
  <Words>836</Words>
  <Characters>4768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Adam Black</cp:lastModifiedBy>
  <cp:revision>2</cp:revision>
  <dcterms:created xsi:type="dcterms:W3CDTF">2013-12-23T23:15:00Z</dcterms:created>
  <dcterms:modified xsi:type="dcterms:W3CDTF">2026-04-09T12:54:00Z</dcterms:modified>
  <cp:category/>
</cp:coreProperties>
</file>