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60ce835386bcce6709de38e731418e88b5c9b3"/>
    <w:p>
      <w:pPr>
        <w:pStyle w:val="Heading1"/>
      </w:pPr>
      <w:r>
        <w:t xml:space="preserve">Entrust Prospect Prioritization Companion — Requirements Traceability</w:t>
      </w:r>
    </w:p>
    <w:p>
      <w:pPr>
        <w:pStyle w:val="BlockText"/>
      </w:pPr>
      <w:r>
        <w:t xml:space="preserve">Cross-references story narrative, prompt requirements, and prototype implementation.</w:t>
      </w:r>
      <w:r>
        <w:t xml:space="preserve"> </w:t>
      </w:r>
      <w:r>
        <w:t xml:space="preserve">Last verified: 2026-02-19</w:t>
      </w:r>
    </w:p>
    <w:p>
      <w:r>
        <w:pict>
          <v:rect style="width:0;height:1.5pt" o:hralign="center" o:hrstd="t" o:hr="t"/>
        </w:pict>
      </w:r>
    </w:p>
    <w:bookmarkStart w:id="9" w:name="act-1-the-problem"/>
    <w:p>
      <w:pPr>
        <w:pStyle w:val="Heading2"/>
      </w:pPr>
      <w:r>
        <w:t xml:space="preserve">ACT 1 — THE PROBLEM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Entrust described as global cybersecurity company (PKI, cert lifecycle, identity verification, digital signing)</w:t>
            </w:r>
          </w:p>
        </w:tc>
        <w:tc>
          <w:tcPr/>
          <w:p>
            <w:pPr>
              <w:pStyle w:val="Compact"/>
            </w:pPr>
            <w:r>
              <w:t xml:space="preserve">Act 1 ¶1–2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Goodfit as third-party data provider delivering 40,000+ account lists</w:t>
            </w:r>
          </w:p>
        </w:tc>
        <w:tc>
          <w:tcPr/>
          <w:p>
            <w:pPr>
              <w:pStyle w:val="Compact"/>
            </w:pPr>
            <w:r>
              <w:t xml:space="preserve">Act 1 ¶1–2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mockDashboardStats.totalImported = 40127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Sellers manually cross-reference accounts against Salesforce CRM (existing relationships, open opps, buyer contacts)</w:t>
            </w:r>
          </w:p>
        </w:tc>
        <w:tc>
          <w:tcPr/>
          <w:p>
            <w:pPr>
              <w:pStyle w:val="Compact"/>
            </w:pPr>
            <w:r>
              <w:t xml:space="preserve">Act 1 ¶4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Persona-to-account mapping is entirely manual (CISO, IT Director, IAM Lead)</w:t>
            </w:r>
          </w:p>
        </w:tc>
        <w:tc>
          <w:tcPr/>
          <w:p>
            <w:pPr>
              <w:pStyle w:val="Compact"/>
            </w:pPr>
            <w:r>
              <w:t xml:space="preserve">Act 1 ¶5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defaultPersonas</w:t>
            </w:r>
            <w:r>
              <w:t xml:space="preserve"> </w:t>
            </w:r>
            <w:r>
              <w:t xml:space="preserve">in ConfigureRules.tsx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When buyer contacts are missing from CRM, sellers manually search LinkedIn Sales Navigator to retrieve contact information</w:t>
            </w:r>
          </w:p>
        </w:tc>
        <w:tc>
          <w:tcPr/>
          <w:p>
            <w:pPr>
              <w:pStyle w:val="Compact"/>
            </w:pPr>
            <w:r>
              <w:t xml:space="preserve">Act 1 ¶5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systematic scoring or ranking — gut feel, tribal knowledge</w:t>
            </w:r>
          </w:p>
        </w:tc>
        <w:tc>
          <w:tcPr/>
          <w:p>
            <w:pPr>
              <w:pStyle w:val="Compact"/>
            </w:pPr>
            <w:r>
              <w:t xml:space="preserve">Act 1 ¶6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Account hierarchy data in Salesforce is messy — duplicate records, parent/child confusion, stale contacts</w:t>
            </w:r>
          </w:p>
        </w:tc>
        <w:tc>
          <w:tcPr/>
          <w:p>
            <w:pPr>
              <w:pStyle w:val="Compact"/>
            </w:pPr>
            <w:r>
              <w:t xml:space="preserve">Act 1 ¶7</w:t>
            </w:r>
          </w:p>
        </w:tc>
        <w:tc>
          <w:tcPr/>
          <w:p>
            <w:pPr>
              <w:pStyle w:val="Compact"/>
            </w:pPr>
            <w:r>
              <w:t xml:space="preserve">Beta Holdings</w:t>
            </w:r>
            <w:r>
              <w:t xml:space="preserve"> </w:t>
            </w:r>
            <w:r>
              <w:t xml:space="preserve">“Ltd”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“Group”</w:t>
            </w:r>
            <w:r>
              <w:t xml:space="preserve"> </w:t>
            </w:r>
            <w:r>
              <w:t xml:space="preserve">in mockData.ts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Outreach is generic — template emails, no personalization</w:t>
            </w:r>
          </w:p>
        </w:tc>
        <w:tc>
          <w:tcPr/>
          <w:p>
            <w:pPr>
              <w:pStyle w:val="Compact"/>
            </w:pPr>
            <w:r>
              <w:t xml:space="preserve">Act 1 ¶8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Entire process takes days to weeks; buying window may close</w:t>
            </w:r>
          </w:p>
        </w:tc>
        <w:tc>
          <w:tcPr/>
          <w:p>
            <w:pPr>
              <w:pStyle w:val="Compact"/>
            </w:pPr>
            <w:r>
              <w:t xml:space="preserve">Act 1 ¶10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Named persona (e.g. </w:t>
            </w:r>
            <w:r>
              <w:t xml:space="preserve">“Sarah, enterprise sales rep covering EMEA for PKI”</w:t>
            </w:r>
            <w:r>
              <w:t xml:space="preserve">) to make it real</w:t>
            </w:r>
          </w:p>
        </w:tc>
        <w:tc>
          <w:tcPr/>
          <w:p>
            <w:pPr>
              <w:pStyle w:val="Compact"/>
            </w:pPr>
            <w:r>
              <w:t xml:space="preserve">Act 1 ¶3</w:t>
            </w:r>
          </w:p>
        </w:tc>
        <w:tc>
          <w:tcPr/>
          <w:p>
            <w:pPr>
              <w:pStyle w:val="Compact"/>
            </w:pPr>
            <w:r>
              <w:t xml:space="preserve">Dashboard:</w:t>
            </w:r>
            <w:r>
              <w:t xml:space="preserve"> </w:t>
            </w:r>
            <w:r>
              <w:t xml:space="preserve">“Welcome back, Sarah”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Show frustration, wasted hours, missed opportunities in concrete human terms</w:t>
            </w:r>
          </w:p>
        </w:tc>
        <w:tc>
          <w:tcPr/>
          <w:p>
            <w:pPr>
              <w:pStyle w:val="Compact"/>
            </w:pPr>
            <w:r>
              <w:t xml:space="preserve">Act 1 throughout + pull-out quote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act-2-the-solution"/>
    <w:p>
      <w:pPr>
        <w:pStyle w:val="Heading2"/>
      </w:pPr>
      <w:r>
        <w:t xml:space="preserve">ACT 2 — THE SOLUTION</w:t>
      </w:r>
    </w:p>
    <w:bookmarkStart w:id="10" w:name="architecture-technology"/>
    <w:p>
      <w:pPr>
        <w:pStyle w:val="Heading3"/>
      </w:pPr>
      <w:r>
        <w:t xml:space="preserve">Architecture &amp; Technology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React + Fluent UI 2 standalone web app</w:t>
            </w:r>
          </w:p>
        </w:tc>
        <w:tc>
          <w:tcPr/>
          <w:p>
            <w:pPr>
              <w:pStyle w:val="Compact"/>
            </w:pPr>
            <w:r>
              <w:t xml:space="preserve">Act 2 ¶5</w:t>
            </w:r>
          </w:p>
        </w:tc>
        <w:tc>
          <w:tcPr/>
          <w:p>
            <w:pPr>
              <w:pStyle w:val="Compact"/>
            </w:pPr>
            <w:r>
              <w:t xml:space="preserve">All components use</w:t>
            </w:r>
            <w:r>
              <w:t xml:space="preserve"> </w:t>
            </w:r>
            <w:r>
              <w:rPr>
                <w:rStyle w:val="VerbatimChar"/>
              </w:rPr>
              <w:t xml:space="preserve">@fluentui/react-components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Hosted on Azure Static Web Apps</w:t>
            </w:r>
          </w:p>
        </w:tc>
        <w:tc>
          <w:tcPr/>
          <w:p>
            <w:pPr>
              <w:pStyle w:val="Compact"/>
            </w:pPr>
            <w:r>
              <w:t xml:space="preserve">Act 2 ¶5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deploy</w:t>
            </w:r>
            <w:r>
              <w:t xml:space="preserve"> </w:t>
            </w:r>
            <w:r>
              <w:t xml:space="preserve">terminal history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Copilot Studio agent orchestrating AI reasoning</w:t>
            </w:r>
          </w:p>
        </w:tc>
        <w:tc>
          <w:tcPr/>
          <w:p>
            <w:pPr>
              <w:pStyle w:val="Compact"/>
            </w:pPr>
            <w:r>
              <w:t xml:space="preserve">Act 2 ¶5</w:t>
            </w:r>
          </w:p>
        </w:tc>
        <w:tc>
          <w:tcPr/>
          <w:p>
            <w:pPr>
              <w:pStyle w:val="Compact"/>
            </w:pPr>
            <w:r>
              <w:t xml:space="preserve">Documented in prospective-prioritisation.md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Microsoft Graph Connectors indexing Salesforce CRM data (Accounts, Contacts, Leads, Opportunities) — read-only, item-level ACLs</w:t>
            </w:r>
          </w:p>
        </w:tc>
        <w:tc>
          <w:tcPr/>
          <w:p>
            <w:pPr>
              <w:pStyle w:val="Compact"/>
            </w:pPr>
            <w:r>
              <w:t xml:space="preserve">Act 2 ¶5</w:t>
            </w:r>
          </w:p>
        </w:tc>
        <w:tc>
          <w:tcPr/>
          <w:p>
            <w:pPr>
              <w:pStyle w:val="Compact"/>
            </w:pPr>
            <w:r>
              <w:t xml:space="preserve">Processing animation messages in ConfigureRules.tsx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Goodfit CSV data staged in SharePoint list, queryable via Graph API</w:t>
            </w:r>
          </w:p>
        </w:tc>
        <w:tc>
          <w:tcPr/>
          <w:p>
            <w:pPr>
              <w:pStyle w:val="Compact"/>
            </w:pPr>
            <w:r>
              <w:t xml:space="preserve">Act 2 ¶3</w:t>
            </w:r>
          </w:p>
        </w:tc>
        <w:tc>
          <w:tcPr/>
          <w:p>
            <w:pPr>
              <w:pStyle w:val="Compact"/>
            </w:pPr>
            <w:r>
              <w:t xml:space="preserve">ImportAccounts.tsx SharePoint list dropdown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Outlook integration for outreach handoff</w:t>
            </w:r>
          </w:p>
        </w:tc>
        <w:tc>
          <w:tcPr/>
          <w:p>
            <w:pPr>
              <w:pStyle w:val="Compact"/>
            </w:pPr>
            <w:r>
              <w:t xml:space="preserve">Act 2 ¶10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handleOpenInOutlook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mailto:</w:t>
            </w:r>
            <w:r>
              <w:t xml:space="preserve"> </w:t>
            </w:r>
            <w:r>
              <w:t xml:space="preserve">in OutreachPack.tsx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16a</w:t>
            </w:r>
          </w:p>
        </w:tc>
        <w:tc>
          <w:tcPr/>
          <w:p>
            <w:pPr>
              <w:pStyle w:val="Compact"/>
            </w:pPr>
            <w:r>
              <w:t xml:space="preserve">LinkedIn Sales Navigator integration for contact enrichment — deep links to pre-scoped searches when CRM contacts are missing or incomplete</w:t>
            </w:r>
          </w:p>
        </w:tc>
        <w:tc>
          <w:tcPr/>
          <w:p>
            <w:pPr>
              <w:pStyle w:val="Compact"/>
            </w:pPr>
            <w:r>
              <w:t xml:space="preserve">Act 2 ¶6–7</w:t>
            </w:r>
          </w:p>
        </w:tc>
        <w:tc>
          <w:tcPr/>
          <w:p>
            <w:pPr>
              <w:pStyle w:val="Compact"/>
            </w:pPr>
            <w:r>
              <w:t xml:space="preserve">Documented in prospective-prioritisation.md; agent generates</w:t>
            </w:r>
            <w:r>
              <w:t xml:space="preserve"> </w:t>
            </w:r>
            <w:r>
              <w:rPr>
                <w:rStyle w:val="VerbatimChar"/>
              </w:rPr>
              <w:t xml:space="preserve">linkedin_search_url</w:t>
            </w:r>
            <w:r>
              <w:t xml:space="preserve">; UI renders</w:t>
            </w:r>
            <w:r>
              <w:t xml:space="preserve"> </w:t>
            </w:r>
            <w:r>
              <w:t xml:space="preserve">“Find on LinkedIn Sales Navigator”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</w:tbl>
    <w:bookmarkEnd w:id="10"/>
    <w:bookmarkStart w:id="11" w:name="step-user-workflow"/>
    <w:p>
      <w:pPr>
        <w:pStyle w:val="Heading3"/>
      </w:pPr>
      <w:r>
        <w:t xml:space="preserve">5-Step User Workflow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  <w:r>
              <w:t xml:space="preserve"> </w:t>
            </w:r>
            <w:r>
              <w:t xml:space="preserve">— home base, recent runs, summary stats (40,127 imported / 2,340 prioritized / 156 outreach packs)</w:t>
            </w:r>
          </w:p>
        </w:tc>
        <w:tc>
          <w:tcPr/>
          <w:p>
            <w:pPr>
              <w:pStyle w:val="Compact"/>
            </w:pPr>
            <w:r>
              <w:t xml:space="preserve">Act 2 ¶2</w:t>
            </w:r>
          </w:p>
        </w:tc>
        <w:tc>
          <w:tcPr/>
          <w:p>
            <w:pPr>
              <w:pStyle w:val="Compact"/>
            </w:pPr>
            <w:r>
              <w:t xml:space="preserve">Dashboard.tsx +</w:t>
            </w:r>
            <w:r>
              <w:t xml:space="preserve"> </w:t>
            </w:r>
            <w:r>
              <w:rPr>
                <w:rStyle w:val="VerbatimChar"/>
              </w:rPr>
              <w:t xml:space="preserve">mockDashboardStats</w:t>
            </w:r>
            <w:r>
              <w:t xml:space="preserve"> </w:t>
            </w:r>
            <w:r>
              <w:t xml:space="preserve">(exact values match)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</w:t>
            </w:r>
            <w:r>
              <w:t xml:space="preserve"> </w:t>
            </w:r>
            <w:r>
              <w:t xml:space="preserve">— upload Goodfit CSV or select SharePoint list; instant parsing, preview of first rows, field detection</w:t>
            </w:r>
          </w:p>
        </w:tc>
        <w:tc>
          <w:tcPr/>
          <w:p>
            <w:pPr>
              <w:pStyle w:val="Compact"/>
            </w:pPr>
            <w:r>
              <w:t xml:space="preserve">Act 2 ¶3</w:t>
            </w:r>
          </w:p>
        </w:tc>
        <w:tc>
          <w:tcPr/>
          <w:p>
            <w:pPr>
              <w:pStyle w:val="Compact"/>
            </w:pPr>
            <w:r>
              <w:t xml:space="preserve">ImportAccounts.tsx: drag-drop,</w:t>
            </w:r>
            <w:r>
              <w:t xml:space="preserve"> </w:t>
            </w:r>
            <w:r>
              <w:rPr>
                <w:rStyle w:val="VerbatimChar"/>
              </w:rPr>
              <w:t xml:space="preserve">Papa.parse</w:t>
            </w:r>
            <w:r>
              <w:t xml:space="preserve">, preview DataGrid, SharePoint dropdown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</w:t>
            </w:r>
            <w:r>
              <w:t xml:space="preserve"> </w:t>
            </w:r>
            <w:r>
              <w:t xml:space="preserve">— select product line (PKI, Identity, Digital Signing)</w:t>
            </w:r>
          </w:p>
        </w:tc>
        <w:tc>
          <w:tcPr/>
          <w:p>
            <w:pPr>
              <w:pStyle w:val="Compact"/>
            </w:pPr>
            <w:r>
              <w:t xml:space="preserve">Act 2 ¶4</w:t>
            </w:r>
          </w:p>
        </w:tc>
        <w:tc>
          <w:tcPr/>
          <w:p>
            <w:pPr>
              <w:pStyle w:val="Compact"/>
            </w:pPr>
            <w:r>
              <w:t xml:space="preserve">ConfigureRules.tsx: product line dropdown, defaults to</w:t>
            </w:r>
            <w:r>
              <w:t xml:space="preserve"> </w:t>
            </w:r>
            <w:r>
              <w:t xml:space="preserve">“PKI / Certificate Solutions”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</w:t>
            </w:r>
            <w:r>
              <w:t xml:space="preserve"> </w:t>
            </w:r>
            <w:r>
              <w:t xml:space="preserve">— select region (EMEA, NA, APAC)</w:t>
            </w:r>
          </w:p>
        </w:tc>
        <w:tc>
          <w:tcPr/>
          <w:p>
            <w:pPr>
              <w:pStyle w:val="Compact"/>
            </w:pPr>
            <w:r>
              <w:t xml:space="preserve">Act 2 ¶4</w:t>
            </w:r>
          </w:p>
        </w:tc>
        <w:tc>
          <w:tcPr/>
          <w:p>
            <w:pPr>
              <w:pStyle w:val="Compact"/>
            </w:pPr>
            <w:r>
              <w:t xml:space="preserve">ConfigureRules.tsx: region dropdown, defaults to</w:t>
            </w:r>
            <w:r>
              <w:t xml:space="preserve"> </w:t>
            </w:r>
            <w:r>
              <w:t xml:space="preserve">“EMEA”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</w:t>
            </w:r>
            <w:r>
              <w:t xml:space="preserve"> </w:t>
            </w:r>
            <w:r>
              <w:t xml:space="preserve">— select segment (Enterprise 1000+)</w:t>
            </w:r>
          </w:p>
        </w:tc>
        <w:tc>
          <w:tcPr/>
          <w:p>
            <w:pPr>
              <w:pStyle w:val="Compact"/>
            </w:pPr>
            <w:r>
              <w:t xml:space="preserve">Act 2 ¶4</w:t>
            </w:r>
          </w:p>
        </w:tc>
        <w:tc>
          <w:tcPr/>
          <w:p>
            <w:pPr>
              <w:pStyle w:val="Compact"/>
            </w:pPr>
            <w:r>
              <w:t xml:space="preserve">ConfigureRules.tsx: segment dropdown, defaults to</w:t>
            </w:r>
            <w:r>
              <w:t xml:space="preserve"> </w:t>
            </w:r>
            <w:r>
              <w:t xml:space="preserve">“Enterprise (1000+ employees)”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</w:t>
            </w:r>
            <w:r>
              <w:t xml:space="preserve"> </w:t>
            </w:r>
            <w:r>
              <w:t xml:space="preserve">— target personas with priority sliders (CISO 95, IT Director 80, IAM Lead 70)</w:t>
            </w:r>
          </w:p>
        </w:tc>
        <w:tc>
          <w:tcPr/>
          <w:p>
            <w:pPr>
              <w:pStyle w:val="Compact"/>
            </w:pPr>
            <w:r>
              <w:t xml:space="preserve">Act 2 ¶4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defaultPersonas</w:t>
            </w:r>
            <w:r>
              <w:t xml:space="preserve"> </w:t>
            </w:r>
            <w:r>
              <w:t xml:space="preserve">array: exact values match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CONFIGURE</w:t>
            </w:r>
            <w:r>
              <w:t xml:space="preserve"> </w:t>
            </w:r>
            <w:r>
              <w:t xml:space="preserve">— scoring weights (persona fit 80%, industry 70%, size 60%, CRM 40%, web/intent 30%)</w:t>
            </w:r>
          </w:p>
        </w:tc>
        <w:tc>
          <w:tcPr/>
          <w:p>
            <w:pPr>
              <w:pStyle w:val="Compact"/>
            </w:pPr>
            <w:r>
              <w:t xml:space="preserve">Act 2 ¶4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defaultWeights</w:t>
            </w:r>
            <w:r>
              <w:t xml:space="preserve"> </w:t>
            </w:r>
            <w:r>
              <w:t xml:space="preserve">object: exact values match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  <w:r>
              <w:t xml:space="preserve"> </w:t>
            </w:r>
            <w:r>
              <w:t xml:space="preserve">— AI-ranked accounts with confidence scores (0–100)</w:t>
            </w:r>
          </w:p>
        </w:tc>
        <w:tc>
          <w:tcPr/>
          <w:p>
            <w:pPr>
              <w:pStyle w:val="Compact"/>
            </w:pPr>
            <w:r>
              <w:t xml:space="preserve">Act 2 ¶6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overallScore</w:t>
            </w:r>
            <w:r>
              <w:t xml:space="preserve"> </w:t>
            </w:r>
            <w:r>
              <w:t xml:space="preserve">rendered with</w:t>
            </w:r>
            <w:r>
              <w:t xml:space="preserve"> </w:t>
            </w:r>
            <w:r>
              <w:rPr>
                <w:rStyle w:val="VerbatimChar"/>
              </w:rPr>
              <w:t xml:space="preserve">/100</w:t>
            </w:r>
            <w:r>
              <w:t xml:space="preserve"> </w:t>
            </w:r>
            <w:r>
              <w:t xml:space="preserve">in Recommendations.tsx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  <w:r>
              <w:t xml:space="preserve"> </w:t>
            </w:r>
            <w:r>
              <w:t xml:space="preserve">— per-factor breakdowns</w:t>
            </w:r>
          </w:p>
        </w:tc>
        <w:tc>
          <w:tcPr/>
          <w:p>
            <w:pPr>
              <w:pStyle w:val="Compact"/>
            </w:pPr>
            <w:r>
              <w:t xml:space="preserve">Act 2 ¶6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renderFactorBar</w:t>
            </w:r>
            <w:r>
              <w:t xml:space="preserve"> </w:t>
            </w:r>
            <w:r>
              <w:t xml:space="preserve">for persona fit, size, industry, CRM, web signals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  <w:r>
              <w:t xml:space="preserve"> </w:t>
            </w:r>
            <w:r>
              <w:t xml:space="preserve">— natural-language reasoning for every recommendation</w:t>
            </w:r>
          </w:p>
        </w:tc>
        <w:tc>
          <w:tcPr/>
          <w:p>
            <w:pPr>
              <w:pStyle w:val="Compact"/>
            </w:pPr>
            <w:r>
              <w:t xml:space="preserve">Act 2 ¶6–8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</w:t>
            </w:r>
            <w:r>
              <w:t xml:space="preserve"> </w:t>
            </w:r>
            <w:r>
              <w:t xml:space="preserve">field rendered in AI Reasoning block with Bot icon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  <w:r>
              <w:t xml:space="preserve"> </w:t>
            </w:r>
            <w:r>
              <w:t xml:space="preserve">— example reasoning:</w:t>
            </w:r>
            <w:r>
              <w:t xml:space="preserve"> </w:t>
            </w:r>
            <w:r>
              <w:t xml:space="preserve">“Acme Corp scores 94: CISO present in CRM, 5,200 employees, expiring Symantec cert Q2 2026, no existing Entrust relationship”</w:t>
            </w:r>
          </w:p>
        </w:tc>
        <w:tc>
          <w:tcPr/>
          <w:p>
            <w:pPr>
              <w:pStyle w:val="Compact"/>
            </w:pPr>
            <w:r>
              <w:t xml:space="preserve">Act 2 ¶6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mockRecommendations[0].reasoning</w:t>
            </w:r>
            <w:r>
              <w:t xml:space="preserve"> </w:t>
            </w:r>
            <w:r>
              <w:t xml:space="preserve">— exact content match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“Needs Review”</w:t>
            </w:r>
            <w:r>
              <w:t xml:space="preserve"> </w:t>
            </w:r>
            <w:r>
              <w:t xml:space="preserve">flags when CRM data is ambiguous (e.g. duplicate Salesforce records)</w:t>
            </w:r>
          </w:p>
        </w:tc>
        <w:tc>
          <w:tcPr/>
          <w:p>
            <w:pPr>
              <w:pStyle w:val="Compact"/>
            </w:pPr>
            <w:r>
              <w:t xml:space="preserve">Act 2 ¶9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needsReview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reviewReason</w:t>
            </w:r>
            <w:r>
              <w:t xml:space="preserve"> </w:t>
            </w:r>
            <w:r>
              <w:t xml:space="preserve">+ amber-bordered card style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“Find on LinkedIn Sales Navigator”</w:t>
            </w:r>
            <w:r>
              <w:t xml:space="preserve"> </w:t>
            </w:r>
            <w:r>
              <w:t xml:space="preserve">deep link when recommended contact is missing or has incomplete data (no email)</w:t>
            </w:r>
          </w:p>
        </w:tc>
        <w:tc>
          <w:tcPr/>
          <w:p>
            <w:pPr>
              <w:pStyle w:val="Compact"/>
            </w:pPr>
            <w:r>
              <w:t xml:space="preserve">Act 2 ¶6–7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enrichment_action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linkedin_search_url</w:t>
            </w:r>
            <w:r>
              <w:t xml:space="preserve"> </w:t>
            </w:r>
            <w:r>
              <w:t xml:space="preserve">in agent response; UI renders Sales Navigator CTA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  <w:r>
              <w:t xml:space="preserve"> </w:t>
            </w:r>
            <w:r>
              <w:t xml:space="preserve">— example:</w:t>
            </w:r>
            <w:r>
              <w:t xml:space="preserve"> </w:t>
            </w:r>
            <w:r>
              <w:t xml:space="preserve">“Beta Holdings Ltd”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“Beta Holdings Group”</w:t>
            </w:r>
            <w:r>
              <w:t xml:space="preserve"> </w:t>
            </w:r>
            <w:r>
              <w:t xml:space="preserve">duplicate flag</w:t>
            </w:r>
          </w:p>
        </w:tc>
        <w:tc>
          <w:tcPr/>
          <w:p>
            <w:pPr>
              <w:pStyle w:val="Compact"/>
            </w:pPr>
            <w:r>
              <w:t xml:space="preserve">Act 2 ¶9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mockRecommendations[3].reviewReason</w:t>
            </w:r>
            <w:r>
              <w:t xml:space="preserve"> </w:t>
            </w:r>
            <w:r>
              <w:t xml:space="preserve">— exact content match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RECOMMENDATIONS</w:t>
            </w:r>
            <w:r>
              <w:t xml:space="preserve"> </w:t>
            </w:r>
            <w:r>
              <w:t xml:space="preserve">— Approve / Edit / Dismiss controls — human-in-the-loop, never black-box</w:t>
            </w:r>
          </w:p>
        </w:tc>
        <w:tc>
          <w:tcPr/>
          <w:p>
            <w:pPr>
              <w:pStyle w:val="Compact"/>
            </w:pPr>
            <w:r>
              <w:t xml:space="preserve">Act 2 ¶10</w:t>
            </w:r>
          </w:p>
        </w:tc>
        <w:tc>
          <w:tcPr/>
          <w:p>
            <w:pPr>
              <w:pStyle w:val="Compact"/>
            </w:pPr>
            <w:r>
              <w:t xml:space="preserve">Three action buttons in Recommendations.tsx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OUTREACH PACK</w:t>
            </w:r>
            <w:r>
              <w:t xml:space="preserve"> </w:t>
            </w:r>
            <w:r>
              <w:t xml:space="preserve">— AI-generated personalized draft emails referencing specific account data points</w:t>
            </w:r>
          </w:p>
        </w:tc>
        <w:tc>
          <w:tcPr/>
          <w:p>
            <w:pPr>
              <w:pStyle w:val="Compact"/>
            </w:pPr>
            <w:r>
              <w:t xml:space="preserve">Act 2 ¶10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mockOutreachDrafts</w:t>
            </w:r>
            <w:r>
              <w:t xml:space="preserve"> </w:t>
            </w:r>
            <w:r>
              <w:t xml:space="preserve">with full email bodies +</w:t>
            </w:r>
            <w:r>
              <w:t xml:space="preserve"> </w:t>
            </w:r>
            <w:r>
              <w:rPr>
                <w:rStyle w:val="VerbatimChar"/>
              </w:rPr>
              <w:t xml:space="preserve">personalizationNotes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OUTREACH PACK</w:t>
            </w:r>
            <w:r>
              <w:t xml:space="preserve"> </w:t>
            </w:r>
            <w:r>
              <w:t xml:space="preserve">— one-click Outlook handoff</w:t>
            </w:r>
          </w:p>
        </w:tc>
        <w:tc>
          <w:tcPr/>
          <w:p>
            <w:pPr>
              <w:pStyle w:val="Compact"/>
            </w:pPr>
            <w:r>
              <w:t xml:space="preserve">Act 2 ¶10</w:t>
            </w:r>
          </w:p>
        </w:tc>
        <w:tc>
          <w:tcPr/>
          <w:p>
            <w:pPr>
              <w:pStyle w:val="Compact"/>
            </w:pPr>
            <w:r>
              <w:t xml:space="preserve">“Open in Outlook”</w:t>
            </w:r>
            <w:r>
              <w:t xml:space="preserve"> </w:t>
            </w:r>
            <w:r>
              <w:t xml:space="preserve">button in OutreachPack.tsx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OUTREACH PACK</w:t>
            </w:r>
            <w:r>
              <w:t xml:space="preserve"> </w:t>
            </w:r>
            <w:r>
              <w:t xml:space="preserve">— CSV export</w:t>
            </w:r>
          </w:p>
        </w:tc>
        <w:tc>
          <w:tcPr/>
          <w:p>
            <w:pPr>
              <w:pStyle w:val="Compact"/>
            </w:pPr>
            <w:r>
              <w:t xml:space="preserve">Not explicitly called out in 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handleDownloadCSV</w:t>
            </w:r>
            <w:r>
              <w:t xml:space="preserve"> </w:t>
            </w:r>
            <w:r>
              <w:t xml:space="preserve">in OutreachPack.tsx</w:t>
            </w:r>
          </w:p>
        </w:tc>
        <w:tc>
          <w:tcPr/>
          <w:p>
            <w:pPr>
              <w:pStyle w:val="Compact"/>
            </w:pPr>
            <w:r>
              <w:t xml:space="preserve">⚠️ Partial — exists in code but story doesn’t mention it</w:t>
            </w:r>
          </w:p>
        </w:tc>
      </w:tr>
    </w:tbl>
    <w:bookmarkEnd w:id="11"/>
    <w:bookmarkStart w:id="12" w:name="design-principles"/>
    <w:p>
      <w:pPr>
        <w:pStyle w:val="Heading3"/>
      </w:pPr>
      <w:r>
        <w:t xml:space="preserve">Design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AI transparency: every output has a</w:t>
            </w:r>
            <w:r>
              <w:t xml:space="preserve"> </w:t>
            </w:r>
            <w:r>
              <w:t xml:space="preserve">“why”</w:t>
            </w:r>
          </w:p>
        </w:tc>
        <w:tc>
          <w:tcPr/>
          <w:p>
            <w:pPr>
              <w:pStyle w:val="Compact"/>
            </w:pPr>
            <w:r>
              <w:t xml:space="preserve">Act 2 ¶6–9 + pull-out quote</w:t>
            </w:r>
          </w:p>
        </w:tc>
        <w:tc>
          <w:tcPr/>
          <w:p>
            <w:pPr>
              <w:pStyle w:val="Compact"/>
            </w:pPr>
            <w:r>
              <w:t xml:space="preserve">Reasoning blocks, factor bars, provenance badges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Human-in-the-loop: AI suggests, sellers decide</w:t>
            </w:r>
          </w:p>
        </w:tc>
        <w:tc>
          <w:tcPr/>
          <w:p>
            <w:pPr>
              <w:pStyle w:val="Compact"/>
            </w:pPr>
            <w:r>
              <w:t xml:space="preserve">Act 2 ¶9–10</w:t>
            </w:r>
          </w:p>
        </w:tc>
        <w:tc>
          <w:tcPr/>
          <w:p>
            <w:pPr>
              <w:pStyle w:val="Compact"/>
            </w:pPr>
            <w:r>
              <w:t xml:space="preserve">Approve / Edit / Dismiss controls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Escape velocity: list → personalized outreach in under 15 minutes</w:t>
            </w:r>
          </w:p>
        </w:tc>
        <w:tc>
          <w:tcPr/>
          <w:p>
            <w:pPr>
              <w:pStyle w:val="Compact"/>
            </w:pPr>
            <w:r>
              <w:t xml:space="preserve">Act 2 final ¶ (</w:t>
            </w:r>
            <w:r>
              <w:t xml:space="preserve">“eleven minutes”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Enterprise-safe: read-only CRM access, no write-back, Entra ID auth</w:t>
            </w:r>
          </w:p>
        </w:tc>
        <w:tc>
          <w:tcPr/>
          <w:p>
            <w:pPr>
              <w:pStyle w:val="Compact"/>
            </w:pPr>
            <w:r>
              <w:t xml:space="preserve">Act 3 ¶6</w:t>
            </w:r>
          </w:p>
        </w:tc>
        <w:tc>
          <w:tcPr/>
          <w:p>
            <w:pPr>
              <w:pStyle w:val="Compact"/>
            </w:pPr>
            <w:r>
              <w:t xml:space="preserve">Documented in prospective-prioritisation.md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act-3-business-impact"/>
    <w:p>
      <w:pPr>
        <w:pStyle w:val="Heading2"/>
      </w:pPr>
      <w:r>
        <w:t xml:space="preserve">ACT 3 — BUSINESS IMPACT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Seller productivity: days → minutes for prospect prioritization</w:t>
            </w:r>
          </w:p>
        </w:tc>
        <w:tc>
          <w:tcPr/>
          <w:p>
            <w:pPr>
              <w:pStyle w:val="Compact"/>
            </w:pPr>
            <w:r>
              <w:t xml:space="preserve">Act 3 ¶2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Pipeline quality: data-driven ranking replaces gut feel</w:t>
            </w:r>
          </w:p>
        </w:tc>
        <w:tc>
          <w:tcPr/>
          <w:p>
            <w:pPr>
              <w:pStyle w:val="Compact"/>
            </w:pPr>
            <w:r>
              <w:t xml:space="preserve">Act 3 ¶3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Outreach effectiveness: personalized, signal-informed messaging vs. templates</w:t>
            </w:r>
          </w:p>
        </w:tc>
        <w:tc>
          <w:tcPr/>
          <w:p>
            <w:pPr>
              <w:pStyle w:val="Compact"/>
            </w:pPr>
            <w:r>
              <w:t xml:space="preserve">Act 3 ¶4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CRM data quality: AI surfaces duplicates and gaps sellers would have missed</w:t>
            </w:r>
          </w:p>
        </w:tc>
        <w:tc>
          <w:tcPr/>
          <w:p>
            <w:pPr>
              <w:pStyle w:val="Compact"/>
            </w:pPr>
            <w:r>
              <w:t xml:space="preserve">Act 3 ¶5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Leadership visibility: explainable, auditable AI reasoning reviewable for exec decks</w:t>
            </w:r>
          </w:p>
        </w:tc>
        <w:tc>
          <w:tcPr/>
          <w:p>
            <w:pPr>
              <w:pStyle w:val="Compact"/>
            </w:pPr>
            <w:r>
              <w:t xml:space="preserve">Act 3 ¶6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Time to value: rapid prototype in 4–6 weeks on Microsoft enterprise stack, not a 12-month platform build</w:t>
            </w:r>
          </w:p>
        </w:tc>
        <w:tc>
          <w:tcPr/>
          <w:p>
            <w:pPr>
              <w:pStyle w:val="Compact"/>
            </w:pPr>
            <w:r>
              <w:t xml:space="preserve">Act 3 ¶1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Platform play: AI decision layer on top of existing investments (Salesforce, M365, Goodfit) — doesn’t replace, makes smarter</w:t>
            </w:r>
          </w:p>
        </w:tc>
        <w:tc>
          <w:tcPr/>
          <w:p>
            <w:pPr>
              <w:pStyle w:val="Compact"/>
            </w:pPr>
            <w:r>
              <w:t xml:space="preserve">Act 3 ¶1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Roadmap: CRM write-back</w:t>
            </w:r>
          </w:p>
        </w:tc>
        <w:tc>
          <w:tcPr/>
          <w:p>
            <w:pPr>
              <w:pStyle w:val="Compact"/>
            </w:pPr>
            <w:r>
              <w:t xml:space="preserve">Act 3 ¶8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Roadmap: Fabric analytics</w:t>
            </w:r>
          </w:p>
        </w:tc>
        <w:tc>
          <w:tcPr/>
          <w:p>
            <w:pPr>
              <w:pStyle w:val="Compact"/>
            </w:pPr>
            <w:r>
              <w:t xml:space="preserve">Act 3 ¶8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Roadmap: Teams / M365 Copilot front door</w:t>
            </w:r>
          </w:p>
        </w:tc>
        <w:tc>
          <w:tcPr/>
          <w:p>
            <w:pPr>
              <w:pStyle w:val="Compact"/>
            </w:pPr>
            <w:r>
              <w:t xml:space="preserve">Act 3 ¶8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Roadmap: Real Goodfit API integration</w:t>
            </w:r>
          </w:p>
        </w:tc>
        <w:tc>
          <w:tcPr/>
          <w:p>
            <w:pPr>
              <w:pStyle w:val="Compact"/>
            </w:pPr>
            <w:r>
              <w:t xml:space="preserve">Act 3 ¶8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48a</w:t>
            </w:r>
          </w:p>
        </w:tc>
        <w:tc>
          <w:tcPr/>
          <w:p>
            <w:pPr>
              <w:pStyle w:val="Compact"/>
            </w:pPr>
            <w:r>
              <w:t xml:space="preserve">Roadmap: LinkedIn Sales Navigator API integration (automated contact import)</w:t>
            </w:r>
          </w:p>
        </w:tc>
        <w:tc>
          <w:tcPr/>
          <w:p>
            <w:pPr>
              <w:pStyle w:val="Compact"/>
            </w:pPr>
            <w:r>
              <w:t xml:space="preserve">Act 3 ¶8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Forward-looking statement: not just EMEA PKI, but every product line, every region, every seller</w:t>
            </w:r>
          </w:p>
        </w:tc>
        <w:tc>
          <w:tcPr/>
          <w:p>
            <w:pPr>
              <w:pStyle w:val="Compact"/>
            </w:pPr>
            <w:r>
              <w:t xml:space="preserve">Act 3 ¶9–10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tyle-guidelines"/>
    <w:p>
      <w:pPr>
        <w:pStyle w:val="Heading2"/>
      </w:pPr>
      <w:r>
        <w:t xml:space="preserve">STYLE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Narrative style, not a feature list — story with tension and resolution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  <w:tc>
          <w:tcPr/>
          <w:p>
            <w:pPr>
              <w:pStyle w:val="Compact"/>
            </w:pPr>
            <w:r>
              <w:t xml:space="preserve">Three-act structure with named protagonist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Concrete numbers and examples from the data (account names, scores, reasoning excerpts)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  <w:tc>
          <w:tcPr/>
          <w:p>
            <w:pPr>
              <w:pStyle w:val="Compact"/>
            </w:pPr>
            <w:r>
              <w:t xml:space="preserve">All data points traceable to mockData.ts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Crisp, executive-friendly language — no jargon without context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Confident and consultative tone — proves value, doesn’t promise it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Clear section headers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  <w:tc>
          <w:tcPr/>
          <w:p>
            <w:pPr>
              <w:pStyle w:val="Compact"/>
            </w:pPr>
            <w:r>
              <w:t xml:space="preserve">Act 1 / Act 2 / Act 3 with subheadings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Pull-out quotes or callouts where appropriate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  <w:tc>
          <w:tcPr/>
          <w:p>
            <w:pPr>
              <w:pStyle w:val="Compact"/>
            </w:pPr>
            <w:r>
              <w:t xml:space="preserve">Three block quotes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Do NOT use bullet lists as the primary format — prose with strategic emphasis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  <w:tc>
          <w:tcPr/>
          <w:p>
            <w:pPr>
              <w:pStyle w:val="Compact"/>
            </w:pPr>
            <w:r>
              <w:t xml:space="preserve">Zero bullet lists in entire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1,500–2,000 words</w:t>
            </w:r>
          </w:p>
        </w:tc>
        <w:tc>
          <w:tcPr/>
          <w:p>
            <w:pPr>
              <w:pStyle w:val="Compact"/>
            </w:pPr>
            <w:r>
              <w:t xml:space="preserve">✅ Met</w:t>
            </w:r>
          </w:p>
        </w:tc>
        <w:tc>
          <w:tcPr/>
          <w:p>
            <w:pPr>
              <w:pStyle w:val="Compact"/>
            </w:pPr>
            <w:r>
              <w:t xml:space="preserve">~1,950 words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 1 — The Problem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 2 — The Solution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 3 — Business Impact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Guidelines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One partial gap:</w:t>
      </w:r>
      <w:r>
        <w:t xml:space="preserve"> </w:t>
      </w:r>
      <w:r>
        <w:t xml:space="preserve">Requirement #33 (CSV export in outreach pack) — the feature exists in code but is not explicitly referenced in the story narrative.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2026-02-26T17:22:27Z</dcterms:created>
  <dcterms:modified xsi:type="dcterms:W3CDTF">2026-02-26T17:22:27Z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