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schwab_market_data_pyspark - Data Lineage: dbo.SchwabQuotesHistory_SparkBollinger</w:t>
      </w:r>
    </w:p>
    <w:p>
      <w:pPr>
        <w:jc w:val="center"/>
      </w:pPr>
      <w:r>
        <w:rPr>
          <w:i/>
          <w:color w:val="666666"/>
          <w:sz w:val="20"/>
        </w:rPr>
        <w:t>Module-by-module walkthrough, traced from the actual code - 2026-07-23</w:t>
      </w:r>
    </w:p>
    <w:p/>
    <w:p>
      <w:pPr>
        <w:pStyle w:val="Heading2"/>
      </w:pPr>
      <w:r>
        <w:t>The chain, in plain English</w:t>
      </w:r>
    </w:p>
    <w:p>
      <w:pPr>
        <w:pStyle w:val="ListNumber"/>
      </w:pPr>
      <w:r>
        <w:rPr>
          <w:b/>
          <w:sz w:val="21"/>
        </w:rPr>
        <w:t xml:space="preserve">Upstream (different project - schwab_market_data) — </w:t>
      </w:r>
      <w:r>
        <w:rPr>
          <w:sz w:val="21"/>
        </w:rPr>
        <w:t>Calls Schwab's Market Data API, lands raw OHLCV bars in dbo.SchwabQuotesHistory via a Raw -&gt; Stage -&gt; History table pipeline.</w:t>
      </w:r>
    </w:p>
    <w:p>
      <w:pPr>
        <w:pStyle w:val="ListNumber"/>
      </w:pPr>
      <w:r>
        <w:rPr>
          <w:b/>
          <w:sz w:val="21"/>
        </w:rPr>
        <w:t xml:space="preserve">main.py (this project) — </w:t>
      </w:r>
      <w:r>
        <w:rPr>
          <w:sz w:val="21"/>
        </w:rPr>
        <w:t>Parses CLI args (--symbols, --start, --end, --window, --num-std), sets up logging, loads config.</w:t>
      </w:r>
    </w:p>
    <w:p>
      <w:pPr>
        <w:pStyle w:val="ListNumber"/>
      </w:pPr>
      <w:r>
        <w:rPr>
          <w:b/>
          <w:sz w:val="21"/>
        </w:rPr>
        <w:t xml:space="preserve">spark_session/session_factory.py — </w:t>
      </w:r>
      <w:r>
        <w:rPr>
          <w:sz w:val="21"/>
        </w:rPr>
        <w:t>Builds the SparkSession, configuring the mssql-jdbc Maven package.</w:t>
      </w:r>
    </w:p>
    <w:p>
      <w:pPr>
        <w:pStyle w:val="ListNumber"/>
      </w:pPr>
      <w:r>
        <w:rPr>
          <w:b/>
          <w:sz w:val="21"/>
        </w:rPr>
        <w:t xml:space="preserve">db/history_reader.py — </w:t>
      </w:r>
      <w:r>
        <w:rPr>
          <w:sz w:val="21"/>
        </w:rPr>
        <w:t>Reads dbo.SchwabQuotesHistory via JDBC, filtered by symbols + date range (pushed down as a SQL subquery, not filtered in Spark).</w:t>
      </w:r>
    </w:p>
    <w:p>
      <w:pPr>
        <w:pStyle w:val="ListNumber"/>
      </w:pPr>
      <w:r>
        <w:rPr>
          <w:b/>
          <w:sz w:val="21"/>
        </w:rPr>
        <w:t xml:space="preserve">analytics/window_specs.py — </w:t>
      </w:r>
      <w:r>
        <w:rPr>
          <w:sz w:val="21"/>
        </w:rPr>
        <w:t>Defines the per-symbol trailing window (rowsBetween) every transform below shares.</w:t>
      </w:r>
    </w:p>
    <w:p>
      <w:pPr>
        <w:pStyle w:val="ListNumber"/>
      </w:pPr>
      <w:r>
        <w:rPr>
          <w:b/>
          <w:sz w:val="21"/>
        </w:rPr>
        <w:t xml:space="preserve">analytics/moving_stats.py — </w:t>
      </w:r>
      <w:r>
        <w:rPr>
          <w:sz w:val="21"/>
        </w:rPr>
        <w:t>Computes MovingAvg/RollingStd over that window - this is the shared input both Bollinger and Z-Score build on.</w:t>
      </w:r>
    </w:p>
    <w:p>
      <w:pPr>
        <w:pStyle w:val="ListNumber"/>
      </w:pPr>
      <w:r>
        <w:rPr>
          <w:b/>
          <w:sz w:val="21"/>
        </w:rPr>
        <w:t xml:space="preserve">analytics/bollinger.py — </w:t>
      </w:r>
      <w:r>
        <w:rPr>
          <w:sz w:val="21"/>
        </w:rPr>
        <w:t>Computes UpperBand/LowerBand = MovingAvg +/- num_std x RollingStd.</w:t>
      </w:r>
    </w:p>
    <w:p>
      <w:pPr>
        <w:pStyle w:val="ListNumber"/>
      </w:pPr>
      <w:r>
        <w:rPr>
          <w:b/>
          <w:sz w:val="21"/>
        </w:rPr>
        <w:t xml:space="preserve">db/analytics_writer.py — </w:t>
      </w:r>
      <w:r>
        <w:rPr>
          <w:sz w:val="21"/>
        </w:rPr>
        <w:t>Writes the result to dbo.SchwabQuotesHistory_SparkBollinger via JDBC.</w:t>
      </w:r>
    </w:p>
    <w:p>
      <w:pPr>
        <w:pStyle w:val="ListNumber"/>
      </w:pPr>
      <w:r>
        <w:rPr>
          <w:b/>
          <w:sz w:val="21"/>
        </w:rPr>
        <w:t xml:space="preserve">Downstream (this session's addition): reporting/queries.py — </w:t>
      </w:r>
      <w:r>
        <w:rPr>
          <w:sz w:val="21"/>
        </w:rPr>
        <w:t>Reads that table back out via plain pyodbc (no Spark) to build the summary report.</w:t>
      </w:r>
    </w:p>
    <w:p/>
    <w:p>
      <w:pPr>
        <w:pStyle w:val="Heading2"/>
      </w:pPr>
      <w:r>
        <w:t>Cheat sheet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432"/>
            <w:shd w:val="clear" w:color="auto" w:fill="374151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6"/>
            <w:shd w:val="clear" w:color="auto" w:fill="374151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024"/>
            <w:shd w:val="clear" w:color="auto" w:fill="374151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Key function/class</w:t>
            </w:r>
          </w:p>
        </w:tc>
        <w:tc>
          <w:tcPr>
            <w:tcW w:type="dxa" w:w="4752"/>
            <w:shd w:val="clear" w:color="auto" w:fill="374151"/>
          </w:tcPr>
          <w:p>
            <w:r>
              <w:rPr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2160"/>
            <w:shd w:val="clear" w:color="auto" w:fill="374151"/>
          </w:tcPr>
          <w:p>
            <w:r>
              <w:rPr>
                <w:b/>
                <w:color w:val="FFFFFF"/>
                <w:sz w:val="16"/>
              </w:rPr>
              <w:t>Reads</w:t>
            </w:r>
          </w:p>
        </w:tc>
        <w:tc>
          <w:tcPr>
            <w:tcW w:type="dxa" w:w="2448"/>
            <w:shd w:val="clear" w:color="auto" w:fill="374151"/>
          </w:tcPr>
          <w:p>
            <w:r>
              <w:rPr>
                <w:b/>
                <w:color w:val="FFFFFF"/>
                <w:sz w:val="16"/>
              </w:rPr>
              <w:t>Writes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(sibling project) schwab_market_data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market_data.py, SQL procs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Calls Schwab's live Market Data API, lands OHLCV bars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Schwab API</w:t>
            </w:r>
          </w:p>
        </w:tc>
        <w:tc>
          <w:tcPr>
            <w:tcW w:type="dxa" w:w="2448"/>
            <w:shd w:val="clear" w:color="auto" w:fill="ccfbf1"/>
          </w:tcPr>
          <w:p>
            <w:r>
              <w:rPr>
                <w:sz w:val="16"/>
              </w:rPr>
              <w:t>dbo.SchwabQuotesHistory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cli/args.py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parse_args()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Parses --symbols, --start, --end, --window, --num-std, --z-threshold, --write-back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 argv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core/config.py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AppConfig.load()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Reads .ini -&gt; SqlConfig, SparkConfig (Singleton, cached)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.ini file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core/logging_setup.py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setup_logging()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TRACE-level file + console logging, @traced decorator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  <w:shd w:val="clear" w:color="auto" w:fill="ccfbf1"/>
          </w:tcPr>
          <w:p>
            <w:r>
              <w:rPr>
                <w:sz w:val="16"/>
              </w:rPr>
              <w:t>logs/*.log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spark_session/session_factory.py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SparkSessionFactory.create()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Builds SparkSession, sets spark.jars.packages (mssql-jdbc), shuffle partitions, UTC timezone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db/_jdbc.py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jdbc_url(), jdbc_properties(), validate_symbols()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Shared JDBC connection-string builder + injection guard for symbol list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db/history_reader.py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HistoryReader.read()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JDBC read of dbo.SchwabQuotesHistory, filtered by symbols+dates as a pushed-down subquery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dbo.SchwabQuotesHistory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analytics/window_specs.py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rolling_window(), row_number_window()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Defines the per-symbol trailing window shared by every transform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analytics/moving_stats.py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add_moving_stats()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Adds MovingAvg, RollingStd, RowNum, IsWarmup over the rolling window; cached since two branches fork from 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in-memory DataFrame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analytics/bollinger.py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add_bollinger_bands()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UpperBand = MovingAvg + num_std x RollingStd, LowerBand = MovingAvg - num_std x RollingStd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in-memory DataFrame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analytics/zscore.py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add_zscore()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ZScore = (ClosePrice - MovingAvg) / RollingStd (null-safe), IsAnomaly = |ZScore| &gt;= z_threshold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in-memory DataFrame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main.py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main()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Orchestrates steps 1-10, .show()s results, tags with BatchId/LoadDate if --write-back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  <w:shd w:val="clear" w:color="auto" w:fill="ccfbf1"/>
          </w:tcPr>
          <w:p>
            <w:r>
              <w:rPr>
                <w:sz w:val="16"/>
              </w:rPr>
              <w:t>console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db/analytics_writer.py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AnalyticsWriter.write_bollinger() / .write_zscore()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JDBC write, mode append/overwrite, only when --write-back passed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in-memory DataFrame</w:t>
            </w:r>
          </w:p>
        </w:tc>
        <w:tc>
          <w:tcPr>
            <w:tcW w:type="dxa" w:w="2448"/>
            <w:shd w:val="clear" w:color="auto" w:fill="ccfbf1"/>
          </w:tcPr>
          <w:p>
            <w:r>
              <w:rPr>
                <w:sz w:val="16"/>
              </w:rPr>
              <w:t>dbo.SchwabQuotesHistory_SparkBollinger, _SparkZScore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reporting/connection.py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SqlConnectionFactory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Plain pyodbc connection (no Spark needed) - separate path used only by the reporting job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reporting/queries.py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fetch_bollinger_summary(), fetch_zscore_summary(), fetch_top_anomalies(), fetch_overall_totals()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Aggregate SQL queries, excludes IsWarmup rows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_SparkBollinger, _SparkZScore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reporting/report_builder.py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build_summary_docx()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Builds the 3-table docx summary (Overall / Per-Symbol / Top Anomalies)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query results</w:t>
            </w:r>
          </w:p>
        </w:tc>
        <w:tc>
          <w:tcPr>
            <w:tcW w:type="dxa" w:w="2448"/>
            <w:shd w:val="clear" w:color="auto" w:fill="ccfbf1"/>
          </w:tcPr>
          <w:p>
            <w:r>
              <w:rPr>
                <w:sz w:val="16"/>
              </w:rPr>
              <w:t>.docx file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reporting/emailer.py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send_report_email()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SMTP send with the docx attached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.docx file</w:t>
            </w:r>
          </w:p>
        </w:tc>
        <w:tc>
          <w:tcPr>
            <w:tcW w:type="dxa" w:w="2448"/>
            <w:shd w:val="clear" w:color="auto" w:fill="ccfbf1"/>
          </w:tcPr>
          <w:p>
            <w:r>
              <w:rPr>
                <w:sz w:val="16"/>
              </w:rPr>
              <w:t>outbound email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736"/>
          </w:tcPr>
          <w:p>
            <w:r>
              <w:rPr>
                <w:rFonts w:ascii="Consolas" w:hAnsi="Consolas"/>
                <w:sz w:val="16"/>
              </w:rPr>
              <w:t>report_main.py</w:t>
            </w:r>
          </w:p>
        </w:tc>
        <w:tc>
          <w:tcPr>
            <w:tcW w:type="dxa" w:w="3024"/>
          </w:tcPr>
          <w:p>
            <w:r>
              <w:rPr>
                <w:rFonts w:ascii="Consolas" w:hAnsi="Consolas"/>
                <w:sz w:val="16"/>
              </w:rPr>
              <w:t>main()</w:t>
            </w:r>
          </w:p>
        </w:tc>
        <w:tc>
          <w:tcPr>
            <w:tcW w:type="dxa" w:w="4752"/>
          </w:tcPr>
          <w:p>
            <w:r>
              <w:rPr>
                <w:sz w:val="16"/>
              </w:rPr>
              <w:t>Orchestrates steps 13-16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  <w:sz w:val="19"/>
        </w:rPr>
        <w:t xml:space="preserve">Key structural fact: </w:t>
      </w:r>
      <w:r>
        <w:rPr>
          <w:sz w:val="19"/>
        </w:rPr>
        <w:t>IsWarmup matters throughout - the first (window_size - 1) bars of each symbol have a partially-filled window, so MovingAvg/RollingStd/bands/ZScore for those rows are unreliable. Steps 8-10 compute them anyway (so the column isn't null), but steps 12-14 downstream both flag (IsWarmup column persisted) and, for reporting, filter those rows out of the aggregates.</w:t>
      </w:r>
    </w:p>
    <w:p>
      <w:r>
        <w:rPr>
          <w:i/>
          <w:color w:val="888888"/>
          <w:sz w:val="16"/>
        </w:rPr>
        <w:t>Generated by Claude Code.</w:t>
      </w:r>
    </w:p>
    <w:sectPr w:rsidR="00FC693F" w:rsidRPr="0006063C" w:rsidSect="00034616">
      <w:pgSz w:w="12240" w:h="158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