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B9" w:rsidRDefault="00AB12B9" w:rsidP="00FE5221">
      <w:pPr>
        <w:pStyle w:val="Subtitle"/>
        <w:ind w:firstLine="0"/>
        <w:contextualSpacing/>
      </w:pPr>
      <w:proofErr w:type="spellStart"/>
      <w:r>
        <w:t>Lasater</w:t>
      </w:r>
      <w:proofErr w:type="spellEnd"/>
      <w:r>
        <w:t xml:space="preserve">, Doug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Section: 504</w:t>
      </w:r>
    </w:p>
    <w:p w:rsidR="00AB12B9" w:rsidRDefault="008C23CA" w:rsidP="00FE5221">
      <w:pPr>
        <w:pStyle w:val="Title"/>
      </w:pPr>
      <w:r>
        <w:t>CSCE 313: Machine Problem 5</w:t>
      </w:r>
    </w:p>
    <w:p w:rsidR="00AB12B9" w:rsidRDefault="00AB12B9" w:rsidP="00FE5221">
      <w:pPr>
        <w:pStyle w:val="Heading1"/>
        <w:contextualSpacing/>
        <w:rPr>
          <w:u w:val="single"/>
        </w:rPr>
      </w:pPr>
      <w:r w:rsidRPr="00002FC8">
        <w:rPr>
          <w:u w:val="single"/>
        </w:rPr>
        <w:t>Files Being Turned In</w:t>
      </w:r>
    </w:p>
    <w:p w:rsidR="00AB12B9" w:rsidRDefault="00AB12B9" w:rsidP="00FE5221">
      <w:pPr>
        <w:pStyle w:val="ListParagraph"/>
        <w:numPr>
          <w:ilvl w:val="0"/>
          <w:numId w:val="1"/>
        </w:numPr>
      </w:pPr>
      <w:proofErr w:type="spellStart"/>
      <w:r>
        <w:t>client.C</w:t>
      </w:r>
      <w:proofErr w:type="spellEnd"/>
      <w:r>
        <w:t xml:space="preserve"> </w:t>
      </w:r>
    </w:p>
    <w:p w:rsidR="00AB12B9" w:rsidRDefault="00AB12B9" w:rsidP="00FE5221">
      <w:pPr>
        <w:pStyle w:val="ListParagraph"/>
        <w:numPr>
          <w:ilvl w:val="0"/>
          <w:numId w:val="1"/>
        </w:numPr>
      </w:pPr>
      <w:proofErr w:type="spellStart"/>
      <w:r>
        <w:t>semaphore.H</w:t>
      </w:r>
      <w:proofErr w:type="spellEnd"/>
      <w:r>
        <w:t xml:space="preserve">  &amp; </w:t>
      </w:r>
      <w:proofErr w:type="spellStart"/>
      <w:r>
        <w:t>semaphore.C</w:t>
      </w:r>
      <w:proofErr w:type="spellEnd"/>
      <w:r>
        <w:t xml:space="preserve"> </w:t>
      </w:r>
    </w:p>
    <w:p w:rsidR="00AB12B9" w:rsidRDefault="00AB12B9" w:rsidP="00FE5221">
      <w:pPr>
        <w:pStyle w:val="ListParagraph"/>
        <w:numPr>
          <w:ilvl w:val="0"/>
          <w:numId w:val="1"/>
        </w:numPr>
      </w:pPr>
      <w:proofErr w:type="spellStart"/>
      <w:r>
        <w:t>NetworkRequestChannel</w:t>
      </w:r>
      <w:r>
        <w:t>.H</w:t>
      </w:r>
      <w:proofErr w:type="spellEnd"/>
      <w:r>
        <w:t xml:space="preserve"> &amp;</w:t>
      </w:r>
      <w:r>
        <w:t xml:space="preserve"> </w:t>
      </w:r>
      <w:proofErr w:type="spellStart"/>
      <w:r>
        <w:t>NetworkRequestChannel.C</w:t>
      </w:r>
      <w:proofErr w:type="spellEnd"/>
    </w:p>
    <w:p w:rsidR="00AB12B9" w:rsidRDefault="00AB12B9" w:rsidP="00FE5221">
      <w:pPr>
        <w:pStyle w:val="ListParagraph"/>
        <w:numPr>
          <w:ilvl w:val="0"/>
          <w:numId w:val="1"/>
        </w:numPr>
      </w:pPr>
      <w:proofErr w:type="spellStart"/>
      <w:r>
        <w:t>dataserver.C</w:t>
      </w:r>
      <w:proofErr w:type="spellEnd"/>
    </w:p>
    <w:p w:rsidR="00AB12B9" w:rsidRDefault="00AB12B9" w:rsidP="00FE5221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&amp; .</w:t>
      </w:r>
      <w:proofErr w:type="spellStart"/>
      <w:r>
        <w:t>DS_Store</w:t>
      </w:r>
      <w:proofErr w:type="spellEnd"/>
    </w:p>
    <w:p w:rsidR="00AB12B9" w:rsidRPr="00002FC8" w:rsidRDefault="00AB12B9" w:rsidP="00FE5221">
      <w:pPr>
        <w:pStyle w:val="Heading1"/>
        <w:contextualSpacing/>
        <w:rPr>
          <w:u w:val="single"/>
        </w:rPr>
      </w:pPr>
      <w:r w:rsidRPr="00002FC8">
        <w:rPr>
          <w:u w:val="single"/>
        </w:rPr>
        <w:t>Testing Environment and Running the Code</w:t>
      </w:r>
    </w:p>
    <w:p w:rsidR="00AB12B9" w:rsidRDefault="00AB12B9" w:rsidP="00FE5221">
      <w:pPr>
        <w:pStyle w:val="ListParagraph"/>
        <w:numPr>
          <w:ilvl w:val="0"/>
          <w:numId w:val="2"/>
        </w:numPr>
      </w:pPr>
      <w:r>
        <w:t>The code was developed in Notepad++</w:t>
      </w:r>
    </w:p>
    <w:p w:rsidR="00AB12B9" w:rsidRDefault="00AB12B9" w:rsidP="00FE5221">
      <w:pPr>
        <w:pStyle w:val="ListParagraph"/>
        <w:numPr>
          <w:ilvl w:val="0"/>
          <w:numId w:val="2"/>
        </w:numPr>
      </w:pPr>
      <w:r>
        <w:t>The code was tested and run on the sun.cse.tamu.edu servers (Unix environment)</w:t>
      </w:r>
    </w:p>
    <w:p w:rsidR="00AB12B9" w:rsidRDefault="00AB12B9" w:rsidP="00FE5221">
      <w:pPr>
        <w:pStyle w:val="ListParagraph"/>
      </w:pPr>
    </w:p>
    <w:p w:rsidR="00FE5221" w:rsidRDefault="00FE5221" w:rsidP="00FE5221">
      <w:pPr>
        <w:pStyle w:val="ListParagraph"/>
        <w:numPr>
          <w:ilvl w:val="0"/>
          <w:numId w:val="2"/>
        </w:numPr>
      </w:pPr>
      <w:r>
        <w:t>To run the code you will need two putty windows open; one will act as the client, the other as the server.</w:t>
      </w:r>
    </w:p>
    <w:p w:rsidR="00FE5221" w:rsidRDefault="00FE5221" w:rsidP="00FE5221">
      <w:pPr>
        <w:pStyle w:val="ListParagraph"/>
      </w:pPr>
    </w:p>
    <w:p w:rsidR="00FE5221" w:rsidRDefault="00FE5221" w:rsidP="00FE5221">
      <w:pPr>
        <w:pStyle w:val="ListParagraph"/>
        <w:numPr>
          <w:ilvl w:val="0"/>
          <w:numId w:val="2"/>
        </w:numPr>
      </w:pPr>
      <w:r>
        <w:t>Once in the proper directory  of the putty that will act as the</w:t>
      </w:r>
      <w:r>
        <w:t xml:space="preserve"> server</w:t>
      </w:r>
    </w:p>
    <w:p w:rsidR="00FE5221" w:rsidRDefault="00FE5221" w:rsidP="00FE5221">
      <w:pPr>
        <w:pStyle w:val="ListParagraph"/>
        <w:numPr>
          <w:ilvl w:val="1"/>
          <w:numId w:val="2"/>
        </w:numPr>
      </w:pPr>
      <w:r>
        <w:t>make all</w:t>
      </w:r>
    </w:p>
    <w:p w:rsidR="00FE5221" w:rsidRDefault="00FE5221" w:rsidP="00FE5221">
      <w:pPr>
        <w:pStyle w:val="ListParagraph"/>
        <w:numPr>
          <w:ilvl w:val="1"/>
          <w:numId w:val="2"/>
        </w:numPr>
      </w:pPr>
      <w:r>
        <w:t>./</w:t>
      </w:r>
      <w:proofErr w:type="spellStart"/>
      <w:r>
        <w:t>dataserver</w:t>
      </w:r>
      <w:proofErr w:type="spellEnd"/>
      <w:r>
        <w:t xml:space="preserve"> –p &lt;port number&gt; -b &lt;backlog number&gt;</w:t>
      </w:r>
    </w:p>
    <w:p w:rsidR="00FE5221" w:rsidRDefault="00FE5221" w:rsidP="00FE5221">
      <w:pPr>
        <w:pStyle w:val="ListParagraph"/>
        <w:numPr>
          <w:ilvl w:val="2"/>
          <w:numId w:val="2"/>
        </w:numPr>
      </w:pPr>
      <w:r>
        <w:t xml:space="preserve">Note: if simply sun </w:t>
      </w:r>
      <w:proofErr w:type="gramStart"/>
      <w:r>
        <w:t xml:space="preserve">with </w:t>
      </w:r>
      <w:r>
        <w:t>./</w:t>
      </w:r>
      <w:proofErr w:type="spellStart"/>
      <w:proofErr w:type="gramEnd"/>
      <w:r>
        <w:t>dataserver</w:t>
      </w:r>
      <w:proofErr w:type="spellEnd"/>
      <w:r>
        <w:t xml:space="preserve"> default will be p = 11335, blog = 200.</w:t>
      </w:r>
      <w:r w:rsidR="00C63F84">
        <w:br/>
      </w:r>
    </w:p>
    <w:p w:rsidR="00AB12B9" w:rsidRDefault="00FE5221" w:rsidP="00C63F84">
      <w:pPr>
        <w:pStyle w:val="ListParagraph"/>
        <w:numPr>
          <w:ilvl w:val="0"/>
          <w:numId w:val="2"/>
        </w:numPr>
      </w:pPr>
      <w:r>
        <w:t>O</w:t>
      </w:r>
      <w:r w:rsidR="00AB12B9">
        <w:t xml:space="preserve">nce in the proper directory  </w:t>
      </w:r>
      <w:r>
        <w:t xml:space="preserve">of the putty that will act as the client, </w:t>
      </w:r>
    </w:p>
    <w:p w:rsidR="00AB12B9" w:rsidRDefault="00AB12B9" w:rsidP="00FE5221">
      <w:pPr>
        <w:pStyle w:val="ListParagraph"/>
        <w:numPr>
          <w:ilvl w:val="1"/>
          <w:numId w:val="2"/>
        </w:numPr>
      </w:pPr>
      <w:r>
        <w:t>./client -n 10000 -b 10000 -w 65</w:t>
      </w:r>
      <w:r w:rsidR="00C63F84">
        <w:t xml:space="preserve"> –h </w:t>
      </w:r>
      <w:proofErr w:type="spellStart"/>
      <w:r w:rsidR="00C63F84">
        <w:t>localHost</w:t>
      </w:r>
      <w:proofErr w:type="spellEnd"/>
      <w:r w:rsidR="00C63F84">
        <w:t xml:space="preserve"> – p 11335</w:t>
      </w:r>
    </w:p>
    <w:p w:rsidR="00AB12B9" w:rsidRDefault="00AB12B9" w:rsidP="00FE5221">
      <w:pPr>
        <w:pStyle w:val="ListParagraph"/>
        <w:numPr>
          <w:ilvl w:val="2"/>
          <w:numId w:val="2"/>
        </w:numPr>
      </w:pPr>
      <w:r>
        <w:t>OR</w:t>
      </w:r>
    </w:p>
    <w:p w:rsidR="00AB12B9" w:rsidRDefault="00AB12B9" w:rsidP="00FE5221">
      <w:pPr>
        <w:pStyle w:val="ListParagraph"/>
        <w:numPr>
          <w:ilvl w:val="1"/>
          <w:numId w:val="2"/>
        </w:numPr>
      </w:pPr>
      <w:r>
        <w:t>./client -n &lt;any number&gt; -b &lt;any number&gt; -w &lt;any number&gt;</w:t>
      </w:r>
      <w:r w:rsidR="00C63F84">
        <w:t xml:space="preserve"> -h &lt;IP address&gt; -p &lt;port number&gt;</w:t>
      </w:r>
    </w:p>
    <w:p w:rsidR="00AB12B9" w:rsidRDefault="00AB12B9" w:rsidP="00FE5221">
      <w:pPr>
        <w:pStyle w:val="Heading1"/>
        <w:contextualSpacing/>
        <w:rPr>
          <w:u w:val="single"/>
        </w:rPr>
      </w:pPr>
      <w:r w:rsidRPr="00F708A6">
        <w:rPr>
          <w:u w:val="single"/>
        </w:rPr>
        <w:t>Analysis of the Program</w:t>
      </w:r>
    </w:p>
    <w:p w:rsidR="00B61AD4" w:rsidRDefault="00B61AD4" w:rsidP="00B61AD4">
      <w:pPr>
        <w:pStyle w:val="ListParagraph"/>
        <w:numPr>
          <w:ilvl w:val="0"/>
          <w:numId w:val="3"/>
        </w:numPr>
      </w:pPr>
      <w:r>
        <w:t xml:space="preserve">The client starts off by processing the specific inputs </w:t>
      </w:r>
      <w:r>
        <w:t>(described above in the running of the code</w:t>
      </w:r>
      <w:r>
        <w:t xml:space="preserve">) </w:t>
      </w:r>
      <w:r>
        <w:t xml:space="preserve">for both the client and </w:t>
      </w:r>
      <w:r>
        <w:t xml:space="preserve">the data server.  </w:t>
      </w:r>
    </w:p>
    <w:p w:rsidR="00B61AD4" w:rsidRDefault="00B61AD4" w:rsidP="00B61AD4">
      <w:pPr>
        <w:pStyle w:val="ListParagraph"/>
        <w:numPr>
          <w:ilvl w:val="0"/>
          <w:numId w:val="3"/>
        </w:numPr>
      </w:pPr>
      <w:r>
        <w:t xml:space="preserve">The client program sends n number of requests specified by the user to the bounded buffer for each person.  These requests are removed from the buffer by the single </w:t>
      </w:r>
      <w:proofErr w:type="spellStart"/>
      <w:r>
        <w:t>event_handler</w:t>
      </w:r>
      <w:proofErr w:type="spellEnd"/>
      <w:r>
        <w:t xml:space="preserve"> thread and sent to the data server.  </w:t>
      </w:r>
    </w:p>
    <w:p w:rsidR="0069411E" w:rsidRDefault="0069411E" w:rsidP="00B61AD4">
      <w:pPr>
        <w:pStyle w:val="ListParagraph"/>
        <w:numPr>
          <w:ilvl w:val="0"/>
          <w:numId w:val="3"/>
        </w:numPr>
      </w:pPr>
      <w:r>
        <w:t xml:space="preserve">The information is sent to the data server with the use of </w:t>
      </w:r>
      <w:proofErr w:type="spellStart"/>
      <w:r>
        <w:t>NetworkRequestChannels</w:t>
      </w:r>
      <w:proofErr w:type="spellEnd"/>
      <w:r>
        <w:t xml:space="preserve"> which use network sockets to connect the client to the server.</w:t>
      </w:r>
      <w:r w:rsidR="00D14AE6">
        <w:t xml:space="preserve">  Each </w:t>
      </w:r>
      <w:proofErr w:type="spellStart"/>
      <w:r w:rsidR="00D14AE6">
        <w:t>NetworkRequestChannel</w:t>
      </w:r>
      <w:proofErr w:type="spellEnd"/>
      <w:r w:rsidR="00D14AE6">
        <w:t xml:space="preserve"> has its own socket file descriptor which the client writes to and then waits to read from once</w:t>
      </w:r>
      <w:r w:rsidR="007E7F56">
        <w:t xml:space="preserve"> the server has replied back to the initial request.</w:t>
      </w:r>
    </w:p>
    <w:p w:rsidR="002751A7" w:rsidRDefault="002751A7" w:rsidP="002751A7">
      <w:pPr>
        <w:pStyle w:val="ListParagraph"/>
        <w:numPr>
          <w:ilvl w:val="0"/>
          <w:numId w:val="3"/>
        </w:numPr>
      </w:pPr>
      <w:r>
        <w:t xml:space="preserve">The replies read from the socket file descriptors are extracted and stored in the statistics buffer. </w:t>
      </w:r>
      <w:r>
        <w:t xml:space="preserve">The particular socket file descriptor that was successfully read from is then used again by simply writing another request to </w:t>
      </w:r>
      <w:r>
        <w:t xml:space="preserve">it </w:t>
      </w:r>
      <w:r>
        <w:t>and the process continues until all requests are processed.</w:t>
      </w:r>
    </w:p>
    <w:p w:rsidR="002766A0" w:rsidRDefault="002766A0" w:rsidP="002766A0">
      <w:pPr>
        <w:pStyle w:val="ListParagraph"/>
        <w:numPr>
          <w:ilvl w:val="0"/>
          <w:numId w:val="3"/>
        </w:numPr>
      </w:pPr>
      <w:r>
        <w:lastRenderedPageBreak/>
        <w:t xml:space="preserve">The replies are removed from the statistics buffer by three statistics threads and then are sorted and stored in their corresponding statistics array. </w:t>
      </w:r>
    </w:p>
    <w:p w:rsidR="002766A0" w:rsidRDefault="002766A0" w:rsidP="002766A0">
      <w:pPr>
        <w:pStyle w:val="ListParagraph"/>
        <w:numPr>
          <w:ilvl w:val="0"/>
          <w:numId w:val="3"/>
        </w:numPr>
      </w:pPr>
      <w:r>
        <w:t>The statistics for each person are then printed out along with the running time of the program.</w:t>
      </w:r>
    </w:p>
    <w:p w:rsidR="002766A0" w:rsidRDefault="002766A0" w:rsidP="002766A0">
      <w:pPr>
        <w:pStyle w:val="Heading1"/>
        <w:rPr>
          <w:u w:val="single"/>
        </w:rPr>
      </w:pPr>
      <w:r w:rsidRPr="002123B1">
        <w:rPr>
          <w:u w:val="single"/>
        </w:rPr>
        <w:t>Results</w:t>
      </w:r>
      <w:r>
        <w:rPr>
          <w:u w:val="single"/>
        </w:rPr>
        <w:t xml:space="preserve"> from Testing</w:t>
      </w:r>
    </w:p>
    <w:p w:rsidR="002766A0" w:rsidRPr="002766A0" w:rsidRDefault="002766A0" w:rsidP="002766A0">
      <w:pPr>
        <w:pStyle w:val="ListParagraph"/>
        <w:numPr>
          <w:ilvl w:val="0"/>
          <w:numId w:val="5"/>
        </w:numPr>
      </w:pPr>
      <w:r w:rsidRPr="002766A0">
        <w:rPr>
          <w:b/>
        </w:rPr>
        <w:t>System Performance</w:t>
      </w:r>
    </w:p>
    <w:p w:rsidR="002766A0" w:rsidRDefault="002766A0" w:rsidP="002766A0">
      <w:pPr>
        <w:pStyle w:val="ListParagraph"/>
        <w:numPr>
          <w:ilvl w:val="1"/>
          <w:numId w:val="5"/>
        </w:numPr>
      </w:pPr>
      <w:r>
        <w:t>The client program was tested with several different numbers of request channels</w:t>
      </w:r>
      <w:r>
        <w:t xml:space="preserve"> and tested with varying sizes of the backlog buffer</w:t>
      </w:r>
      <w:r>
        <w:t xml:space="preserve">.  The results are graphed and recorded below.  </w:t>
      </w:r>
    </w:p>
    <w:p w:rsidR="00383631" w:rsidRDefault="00BF062D" w:rsidP="002766A0">
      <w:pPr>
        <w:pStyle w:val="ListParagraph"/>
        <w:numPr>
          <w:ilvl w:val="1"/>
          <w:numId w:val="5"/>
        </w:numPr>
      </w:pPr>
      <w:r>
        <w:t xml:space="preserve">Increasing the number of backlogs does not have that great of effect on the server client system.  However, increasing the number of </w:t>
      </w:r>
      <w:proofErr w:type="spellStart"/>
      <w:r>
        <w:t>NetworkRequestChannels</w:t>
      </w:r>
      <w:proofErr w:type="spellEnd"/>
      <w:r>
        <w:t xml:space="preserve"> results in faster results.  After about 75 </w:t>
      </w:r>
      <w:proofErr w:type="spellStart"/>
      <w:r>
        <w:t>NetworkRequestChannels</w:t>
      </w:r>
      <w:proofErr w:type="spellEnd"/>
      <w:r>
        <w:t xml:space="preserve">, the results flatten out and then after 125 </w:t>
      </w:r>
      <w:proofErr w:type="spellStart"/>
      <w:r>
        <w:t>NetworkRequestChannels</w:t>
      </w:r>
      <w:proofErr w:type="spellEnd"/>
      <w:r>
        <w:t xml:space="preserve"> the results begin to decrease.  </w:t>
      </w:r>
    </w:p>
    <w:p w:rsidR="00383631" w:rsidRDefault="00383631" w:rsidP="00383631"/>
    <w:p w:rsidR="00383631" w:rsidRDefault="00383631" w:rsidP="00383631"/>
    <w:p w:rsidR="00BF062D" w:rsidRDefault="00BF062D" w:rsidP="00383631">
      <w:bookmarkStart w:id="0" w:name="_GoBack"/>
      <w:bookmarkEnd w:id="0"/>
      <w:r>
        <w:t xml:space="preserve"> </w:t>
      </w:r>
    </w:p>
    <w:p w:rsidR="00B13279" w:rsidRPr="00B13279" w:rsidRDefault="00B13279" w:rsidP="00B13279">
      <w:pPr>
        <w:pStyle w:val="Heading1"/>
        <w:rPr>
          <w:u w:val="single"/>
        </w:rPr>
      </w:pPr>
      <w:r w:rsidRPr="00B13279">
        <w:rPr>
          <w:u w:val="single"/>
        </w:rPr>
        <w:t>Table of Results</w:t>
      </w:r>
    </w:p>
    <w:tbl>
      <w:tblPr>
        <w:tblW w:w="9706" w:type="dxa"/>
        <w:tblInd w:w="93" w:type="dxa"/>
        <w:tblLook w:val="04A0" w:firstRow="1" w:lastRow="0" w:firstColumn="1" w:lastColumn="0" w:noHBand="0" w:noVBand="1"/>
      </w:tblPr>
      <w:tblGrid>
        <w:gridCol w:w="1802"/>
        <w:gridCol w:w="1976"/>
        <w:gridCol w:w="1976"/>
        <w:gridCol w:w="1976"/>
        <w:gridCol w:w="1976"/>
      </w:tblGrid>
      <w:tr w:rsidR="0030720B" w:rsidRPr="0030720B" w:rsidTr="002926A1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000000"/>
              </w:rPr>
            </w:pPr>
            <w:r w:rsidRPr="0030720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 xml:space="preserve">Testing 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>Results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>MP5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000000"/>
              </w:rPr>
            </w:pPr>
            <w:r w:rsidRPr="0030720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720B" w:rsidRPr="0030720B" w:rsidTr="002926A1">
        <w:trPr>
          <w:trHeight w:val="327"/>
        </w:trPr>
        <w:tc>
          <w:tcPr>
            <w:tcW w:w="1802" w:type="dxa"/>
            <w:tcBorders>
              <w:top w:val="nil"/>
              <w:left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0720B" w:rsidRPr="0030720B" w:rsidRDefault="0030720B" w:rsidP="002926A1">
            <w:pPr>
              <w:spacing w:after="0"/>
              <w:ind w:firstLine="0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>B</w:t>
            </w:r>
            <w:r w:rsidR="002926A1" w:rsidRPr="002926A1">
              <w:rPr>
                <w:color w:val="FFFFFF" w:themeColor="background1"/>
              </w:rPr>
              <w:t xml:space="preserve">acklog </w:t>
            </w:r>
            <w:r w:rsidRPr="0030720B">
              <w:rPr>
                <w:rFonts w:ascii="Calibri" w:eastAsia="Times New Roman" w:hAnsi="Calibri" w:cs="Times New Roman"/>
                <w:color w:val="FFFFFF"/>
              </w:rPr>
              <w:t>B Size: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>200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>400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>600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30720B">
              <w:rPr>
                <w:rFonts w:ascii="Calibri" w:eastAsia="Times New Roman" w:hAnsi="Calibri" w:cs="Times New Roman"/>
                <w:color w:val="FFFFFF"/>
              </w:rPr>
              <w:t>10000</w:t>
            </w:r>
          </w:p>
        </w:tc>
      </w:tr>
      <w:tr w:rsidR="002926A1" w:rsidRPr="0030720B" w:rsidTr="002926A1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vAlign w:val="bottom"/>
            <w:hideMark/>
          </w:tcPr>
          <w:p w:rsidR="0030720B" w:rsidRPr="0030720B" w:rsidRDefault="0030720B" w:rsidP="002926A1">
            <w:pPr>
              <w:spacing w:after="0"/>
              <w:ind w:firstLine="0"/>
              <w:rPr>
                <w:rFonts w:ascii="Calibri" w:eastAsia="Times New Roman" w:hAnsi="Calibri" w:cs="Times New Roman"/>
                <w:color w:val="000000"/>
              </w:rPr>
            </w:pPr>
            <w:r w:rsidRPr="0030720B">
              <w:rPr>
                <w:rFonts w:ascii="Calibri" w:eastAsia="Times New Roman" w:hAnsi="Calibri" w:cs="Times New Roman"/>
                <w:color w:val="000000"/>
              </w:rPr>
              <w:t># R</w:t>
            </w:r>
            <w:r w:rsidR="002926A1">
              <w:rPr>
                <w:rFonts w:ascii="Calibri" w:eastAsia="Times New Roman" w:hAnsi="Calibri" w:cs="Times New Roman"/>
                <w:color w:val="000000"/>
              </w:rPr>
              <w:t>equest</w:t>
            </w:r>
            <w:r w:rsidR="002926A1" w:rsidRPr="003072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0720B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2926A1">
              <w:rPr>
                <w:rFonts w:ascii="Calibri" w:eastAsia="Times New Roman" w:hAnsi="Calibri" w:cs="Times New Roman"/>
                <w:color w:val="000000"/>
              </w:rPr>
              <w:t>hans</w:t>
            </w:r>
            <w:proofErr w:type="spellEnd"/>
            <w:r w:rsidRPr="0030720B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solid" w:color="8DB3E2" w:themeColor="text2" w:themeTint="66" w:fill="C5D9F1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000000"/>
              </w:rPr>
            </w:pPr>
            <w:r w:rsidRPr="0030720B">
              <w:rPr>
                <w:rFonts w:ascii="Calibri" w:eastAsia="Times New Roman" w:hAnsi="Calibri" w:cs="Times New Roman"/>
                <w:color w:val="000000"/>
              </w:rPr>
              <w:t>Run Time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solid" w:color="8DB3E2" w:themeColor="text2" w:themeTint="66" w:fill="C5D9F1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000000"/>
              </w:rPr>
            </w:pPr>
            <w:r w:rsidRPr="0030720B">
              <w:rPr>
                <w:rFonts w:ascii="Calibri" w:eastAsia="Times New Roman" w:hAnsi="Calibri" w:cs="Times New Roman"/>
                <w:color w:val="000000"/>
              </w:rPr>
              <w:t>Run Time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solid" w:color="8DB3E2" w:themeColor="text2" w:themeTint="66" w:fill="C5D9F1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000000"/>
              </w:rPr>
            </w:pPr>
            <w:r w:rsidRPr="0030720B">
              <w:rPr>
                <w:rFonts w:ascii="Calibri" w:eastAsia="Times New Roman" w:hAnsi="Calibri" w:cs="Times New Roman"/>
                <w:color w:val="000000"/>
              </w:rPr>
              <w:t>Run Time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shd w:val="solid" w:color="8DB3E2" w:themeColor="text2" w:themeTint="66" w:fill="C5D9F1"/>
            <w:noWrap/>
            <w:vAlign w:val="bottom"/>
            <w:hideMark/>
          </w:tcPr>
          <w:p w:rsidR="0030720B" w:rsidRPr="0030720B" w:rsidRDefault="0030720B" w:rsidP="0030720B">
            <w:pPr>
              <w:spacing w:after="0"/>
              <w:ind w:firstLine="0"/>
              <w:rPr>
                <w:rFonts w:ascii="Calibri" w:eastAsia="Times New Roman" w:hAnsi="Calibri" w:cs="Times New Roman"/>
                <w:color w:val="000000"/>
              </w:rPr>
            </w:pPr>
            <w:r w:rsidRPr="0030720B">
              <w:rPr>
                <w:rFonts w:ascii="Calibri" w:eastAsia="Times New Roman" w:hAnsi="Calibri" w:cs="Times New Roman"/>
                <w:color w:val="000000"/>
              </w:rPr>
              <w:t>Run Time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31.938277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32.185432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32.086624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32.265734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25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13.832465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13.806718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13.774056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13.350282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35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10.387217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10.398742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10.416578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10.670303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50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8.011232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7.971068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8.024433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8.851227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6.764382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6.659011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6.712947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7.895477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75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6.221874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6.201087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6.317396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7.705402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90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5.801572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5.886931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5.800618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7.174638</w:t>
            </w:r>
          </w:p>
        </w:tc>
      </w:tr>
      <w:tr w:rsidR="00BF062D" w:rsidRPr="0030720B" w:rsidTr="00EF5468">
        <w:trPr>
          <w:trHeight w:val="32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solid" w:color="8DB3E2" w:themeColor="text2" w:themeTint="66" w:fill="C5D9F1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125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5.907081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6.635837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Pr="009A2BF2" w:rsidRDefault="00BF062D" w:rsidP="00BF062D">
            <w:pPr>
              <w:contextualSpacing/>
            </w:pPr>
            <w:r w:rsidRPr="009A2BF2">
              <w:t>5.789633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solid" w:color="DBE5F1" w:themeColor="accent1" w:themeTint="33" w:fill="auto"/>
            <w:noWrap/>
            <w:hideMark/>
          </w:tcPr>
          <w:p w:rsidR="00BF062D" w:rsidRDefault="00BF062D" w:rsidP="00BF062D">
            <w:pPr>
              <w:contextualSpacing/>
            </w:pPr>
            <w:r w:rsidRPr="009A2BF2">
              <w:t>6.259554</w:t>
            </w:r>
          </w:p>
        </w:tc>
      </w:tr>
    </w:tbl>
    <w:p w:rsidR="002C0BF1" w:rsidRDefault="00B13279" w:rsidP="00B13279">
      <w:pPr>
        <w:ind w:firstLine="0"/>
        <w:contextualSpacing/>
        <w:jc w:val="center"/>
      </w:pPr>
      <w:proofErr w:type="gramStart"/>
      <w:r w:rsidRPr="00B13279">
        <w:rPr>
          <w:b/>
        </w:rPr>
        <w:t>Table 1.</w:t>
      </w:r>
      <w:proofErr w:type="gramEnd"/>
      <w:r>
        <w:t xml:space="preserve"> Analysis of Results of MP5</w:t>
      </w:r>
    </w:p>
    <w:p w:rsidR="006E0F05" w:rsidRDefault="00BF062D" w:rsidP="006E0F05">
      <w:pPr>
        <w:pStyle w:val="Heading1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60A489" wp14:editId="2C94CD99">
            <wp:simplePos x="0" y="0"/>
            <wp:positionH relativeFrom="column">
              <wp:posOffset>0</wp:posOffset>
            </wp:positionH>
            <wp:positionV relativeFrom="paragraph">
              <wp:posOffset>459105</wp:posOffset>
            </wp:positionV>
            <wp:extent cx="6444615" cy="2889250"/>
            <wp:effectExtent l="0" t="0" r="13335" b="2540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F05" w:rsidRPr="006E0F05">
        <w:rPr>
          <w:u w:val="single"/>
        </w:rPr>
        <w:t>Graphs of Results</w:t>
      </w:r>
    </w:p>
    <w:p w:rsidR="006E0F05" w:rsidRPr="006E0F05" w:rsidRDefault="006E0F05" w:rsidP="006E0F05">
      <w:pPr>
        <w:ind w:firstLine="0"/>
      </w:pPr>
    </w:p>
    <w:sectPr w:rsidR="006E0F05" w:rsidRPr="006E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744" w:rsidRDefault="00973744" w:rsidP="006E0F05">
      <w:pPr>
        <w:spacing w:after="0"/>
      </w:pPr>
      <w:r>
        <w:separator/>
      </w:r>
    </w:p>
  </w:endnote>
  <w:endnote w:type="continuationSeparator" w:id="0">
    <w:p w:rsidR="00973744" w:rsidRDefault="00973744" w:rsidP="006E0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744" w:rsidRDefault="00973744" w:rsidP="006E0F05">
      <w:pPr>
        <w:spacing w:after="0"/>
      </w:pPr>
      <w:r>
        <w:separator/>
      </w:r>
    </w:p>
  </w:footnote>
  <w:footnote w:type="continuationSeparator" w:id="0">
    <w:p w:rsidR="00973744" w:rsidRDefault="00973744" w:rsidP="006E0F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6827"/>
    <w:multiLevelType w:val="hybridMultilevel"/>
    <w:tmpl w:val="7CEC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A0188"/>
    <w:multiLevelType w:val="hybridMultilevel"/>
    <w:tmpl w:val="C0B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92D92"/>
    <w:multiLevelType w:val="hybridMultilevel"/>
    <w:tmpl w:val="0FD4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3514E"/>
    <w:multiLevelType w:val="hybridMultilevel"/>
    <w:tmpl w:val="EA264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897B26"/>
    <w:multiLevelType w:val="hybridMultilevel"/>
    <w:tmpl w:val="4DE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B9"/>
    <w:rsid w:val="002751A7"/>
    <w:rsid w:val="002766A0"/>
    <w:rsid w:val="002926A1"/>
    <w:rsid w:val="0030720B"/>
    <w:rsid w:val="00383631"/>
    <w:rsid w:val="00393AE7"/>
    <w:rsid w:val="004734B2"/>
    <w:rsid w:val="00536DB2"/>
    <w:rsid w:val="0059536A"/>
    <w:rsid w:val="00630983"/>
    <w:rsid w:val="0069411E"/>
    <w:rsid w:val="006E0F05"/>
    <w:rsid w:val="007B4AD9"/>
    <w:rsid w:val="007E7F56"/>
    <w:rsid w:val="008C23CA"/>
    <w:rsid w:val="00950B3F"/>
    <w:rsid w:val="00973744"/>
    <w:rsid w:val="00AB12B9"/>
    <w:rsid w:val="00B13279"/>
    <w:rsid w:val="00B61AD4"/>
    <w:rsid w:val="00B716F0"/>
    <w:rsid w:val="00BF062D"/>
    <w:rsid w:val="00C0641C"/>
    <w:rsid w:val="00C63F84"/>
    <w:rsid w:val="00D14AE6"/>
    <w:rsid w:val="00E67453"/>
    <w:rsid w:val="00FE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B9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2B9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1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12B9"/>
    <w:pPr>
      <w:pBdr>
        <w:bottom w:val="single" w:sz="8" w:space="4" w:color="4F81BD" w:themeColor="accent1"/>
      </w:pBdr>
      <w:spacing w:after="300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12B9"/>
    <w:pPr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F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0F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0F05"/>
  </w:style>
  <w:style w:type="paragraph" w:styleId="Footer">
    <w:name w:val="footer"/>
    <w:basedOn w:val="Normal"/>
    <w:link w:val="FooterChar"/>
    <w:uiPriority w:val="99"/>
    <w:unhideWhenUsed/>
    <w:rsid w:val="006E0F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0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B9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2B9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1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12B9"/>
    <w:pPr>
      <w:pBdr>
        <w:bottom w:val="single" w:sz="8" w:space="4" w:color="4F81BD" w:themeColor="accent1"/>
      </w:pBdr>
      <w:spacing w:after="300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12B9"/>
    <w:pPr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F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0F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0F05"/>
  </w:style>
  <w:style w:type="paragraph" w:styleId="Footer">
    <w:name w:val="footer"/>
    <w:basedOn w:val="Normal"/>
    <w:link w:val="FooterChar"/>
    <w:uiPriority w:val="99"/>
    <w:unhideWhenUsed/>
    <w:rsid w:val="006E0F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ouglas\Google%20Drive\TAMU\CSCE%20313\Machine%20Problems\MP5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Request</a:t>
            </a:r>
            <a:r>
              <a:rPr lang="en-US" baseline="0"/>
              <a:t> Channels VS </a:t>
            </a:r>
            <a:r>
              <a:rPr lang="en-US"/>
              <a:t>Running</a:t>
            </a:r>
            <a:r>
              <a:rPr lang="en-US" baseline="0"/>
              <a:t> Time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BackLog Size = 200</c:v>
          </c:tx>
          <c:marker>
            <c:symbol val="none"/>
          </c:marker>
          <c:xVal>
            <c:numRef>
              <c:f>'Testing Results'!$A$5:$A$12</c:f>
              <c:numCache>
                <c:formatCode>General</c:formatCode>
                <c:ptCount val="8"/>
                <c:pt idx="0">
                  <c:v>10</c:v>
                </c:pt>
                <c:pt idx="1">
                  <c:v>25</c:v>
                </c:pt>
                <c:pt idx="2">
                  <c:v>35</c:v>
                </c:pt>
                <c:pt idx="3">
                  <c:v>50</c:v>
                </c:pt>
                <c:pt idx="4">
                  <c:v>65</c:v>
                </c:pt>
                <c:pt idx="5">
                  <c:v>75</c:v>
                </c:pt>
                <c:pt idx="6">
                  <c:v>90</c:v>
                </c:pt>
                <c:pt idx="7">
                  <c:v>125</c:v>
                </c:pt>
              </c:numCache>
            </c:numRef>
          </c:xVal>
          <c:yVal>
            <c:numRef>
              <c:f>'Testing Results'!$B$5:$B$12</c:f>
              <c:numCache>
                <c:formatCode>General</c:formatCode>
                <c:ptCount val="8"/>
                <c:pt idx="0">
                  <c:v>31.938276999999999</c:v>
                </c:pt>
                <c:pt idx="1">
                  <c:v>13.832464999999999</c:v>
                </c:pt>
                <c:pt idx="2">
                  <c:v>10.387217</c:v>
                </c:pt>
                <c:pt idx="3">
                  <c:v>8.0112319999999997</c:v>
                </c:pt>
                <c:pt idx="4">
                  <c:v>6.7643820000000003</c:v>
                </c:pt>
                <c:pt idx="5">
                  <c:v>6.2218739999999997</c:v>
                </c:pt>
                <c:pt idx="6">
                  <c:v>5.8015720000000002</c:v>
                </c:pt>
                <c:pt idx="7">
                  <c:v>5.9070809999999998</c:v>
                </c:pt>
              </c:numCache>
            </c:numRef>
          </c:yVal>
          <c:smooth val="1"/>
        </c:ser>
        <c:ser>
          <c:idx val="1"/>
          <c:order val="1"/>
          <c:tx>
            <c:v>BackLog Size = 400</c:v>
          </c:tx>
          <c:marker>
            <c:symbol val="none"/>
          </c:marker>
          <c:xVal>
            <c:numRef>
              <c:f>'Testing Results'!$A$5:$A$12</c:f>
              <c:numCache>
                <c:formatCode>General</c:formatCode>
                <c:ptCount val="8"/>
                <c:pt idx="0">
                  <c:v>10</c:v>
                </c:pt>
                <c:pt idx="1">
                  <c:v>25</c:v>
                </c:pt>
                <c:pt idx="2">
                  <c:v>35</c:v>
                </c:pt>
                <c:pt idx="3">
                  <c:v>50</c:v>
                </c:pt>
                <c:pt idx="4">
                  <c:v>65</c:v>
                </c:pt>
                <c:pt idx="5">
                  <c:v>75</c:v>
                </c:pt>
                <c:pt idx="6">
                  <c:v>90</c:v>
                </c:pt>
                <c:pt idx="7">
                  <c:v>125</c:v>
                </c:pt>
              </c:numCache>
            </c:numRef>
          </c:xVal>
          <c:yVal>
            <c:numRef>
              <c:f>'Testing Results'!$C$5:$C$12</c:f>
              <c:numCache>
                <c:formatCode>General</c:formatCode>
                <c:ptCount val="8"/>
                <c:pt idx="0">
                  <c:v>32.185431999999999</c:v>
                </c:pt>
                <c:pt idx="1">
                  <c:v>13.806718</c:v>
                </c:pt>
                <c:pt idx="2">
                  <c:v>10.398742</c:v>
                </c:pt>
                <c:pt idx="3">
                  <c:v>7.9710679999999998</c:v>
                </c:pt>
                <c:pt idx="4">
                  <c:v>6.6590109999999996</c:v>
                </c:pt>
                <c:pt idx="5">
                  <c:v>6.2010870000000002</c:v>
                </c:pt>
                <c:pt idx="6">
                  <c:v>5.8869309999999997</c:v>
                </c:pt>
                <c:pt idx="7">
                  <c:v>6.6358370000000004</c:v>
                </c:pt>
              </c:numCache>
            </c:numRef>
          </c:yVal>
          <c:smooth val="1"/>
        </c:ser>
        <c:ser>
          <c:idx val="2"/>
          <c:order val="2"/>
          <c:tx>
            <c:v>BackLog Size = 600</c:v>
          </c:tx>
          <c:marker>
            <c:symbol val="none"/>
          </c:marker>
          <c:xVal>
            <c:numRef>
              <c:f>'Testing Results'!$A$5:$A$12</c:f>
              <c:numCache>
                <c:formatCode>General</c:formatCode>
                <c:ptCount val="8"/>
                <c:pt idx="0">
                  <c:v>10</c:v>
                </c:pt>
                <c:pt idx="1">
                  <c:v>25</c:v>
                </c:pt>
                <c:pt idx="2">
                  <c:v>35</c:v>
                </c:pt>
                <c:pt idx="3">
                  <c:v>50</c:v>
                </c:pt>
                <c:pt idx="4">
                  <c:v>65</c:v>
                </c:pt>
                <c:pt idx="5">
                  <c:v>75</c:v>
                </c:pt>
                <c:pt idx="6">
                  <c:v>90</c:v>
                </c:pt>
                <c:pt idx="7">
                  <c:v>125</c:v>
                </c:pt>
              </c:numCache>
            </c:numRef>
          </c:xVal>
          <c:yVal>
            <c:numRef>
              <c:f>'Testing Results'!$D$5:$D$12</c:f>
              <c:numCache>
                <c:formatCode>General</c:formatCode>
                <c:ptCount val="8"/>
                <c:pt idx="0">
                  <c:v>32.086624</c:v>
                </c:pt>
                <c:pt idx="1">
                  <c:v>13.774056</c:v>
                </c:pt>
                <c:pt idx="2">
                  <c:v>10.416577999999999</c:v>
                </c:pt>
                <c:pt idx="3">
                  <c:v>8.0244330000000001</c:v>
                </c:pt>
                <c:pt idx="4">
                  <c:v>6.7129469999999998</c:v>
                </c:pt>
                <c:pt idx="5">
                  <c:v>6.3173959999999996</c:v>
                </c:pt>
                <c:pt idx="6">
                  <c:v>5.8006180000000001</c:v>
                </c:pt>
                <c:pt idx="7">
                  <c:v>5.7896330000000003</c:v>
                </c:pt>
              </c:numCache>
            </c:numRef>
          </c:yVal>
          <c:smooth val="1"/>
        </c:ser>
        <c:ser>
          <c:idx val="3"/>
          <c:order val="3"/>
          <c:tx>
            <c:v>BackLog Size = 1,000</c:v>
          </c:tx>
          <c:marker>
            <c:symbol val="none"/>
          </c:marker>
          <c:xVal>
            <c:numRef>
              <c:f>'Testing Results'!$A$5:$A$12</c:f>
              <c:numCache>
                <c:formatCode>General</c:formatCode>
                <c:ptCount val="8"/>
                <c:pt idx="0">
                  <c:v>10</c:v>
                </c:pt>
                <c:pt idx="1">
                  <c:v>25</c:v>
                </c:pt>
                <c:pt idx="2">
                  <c:v>35</c:v>
                </c:pt>
                <c:pt idx="3">
                  <c:v>50</c:v>
                </c:pt>
                <c:pt idx="4">
                  <c:v>65</c:v>
                </c:pt>
                <c:pt idx="5">
                  <c:v>75</c:v>
                </c:pt>
                <c:pt idx="6">
                  <c:v>90</c:v>
                </c:pt>
                <c:pt idx="7">
                  <c:v>125</c:v>
                </c:pt>
              </c:numCache>
            </c:numRef>
          </c:xVal>
          <c:yVal>
            <c:numRef>
              <c:f>'Testing Results'!$E$5:$E$12</c:f>
              <c:numCache>
                <c:formatCode>General</c:formatCode>
                <c:ptCount val="8"/>
                <c:pt idx="0">
                  <c:v>32.265734000000002</c:v>
                </c:pt>
                <c:pt idx="1">
                  <c:v>13.350282</c:v>
                </c:pt>
                <c:pt idx="2">
                  <c:v>10.670303000000001</c:v>
                </c:pt>
                <c:pt idx="3">
                  <c:v>8.8512269999999997</c:v>
                </c:pt>
                <c:pt idx="4">
                  <c:v>7.8954769999999996</c:v>
                </c:pt>
                <c:pt idx="5">
                  <c:v>7.7054020000000003</c:v>
                </c:pt>
                <c:pt idx="6">
                  <c:v>7.1746379999999998</c:v>
                </c:pt>
                <c:pt idx="7">
                  <c:v>6.2595539999999996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612672"/>
        <c:axId val="159806208"/>
      </c:scatterChart>
      <c:valAx>
        <c:axId val="131612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Request Channels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806208"/>
        <c:crosses val="autoZero"/>
        <c:crossBetween val="midCat"/>
      </c:valAx>
      <c:valAx>
        <c:axId val="159806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Running 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6126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tx2">
        <a:lumMod val="40000"/>
        <a:lumOff val="60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14</cp:revision>
  <dcterms:created xsi:type="dcterms:W3CDTF">2013-04-28T00:41:00Z</dcterms:created>
  <dcterms:modified xsi:type="dcterms:W3CDTF">2013-04-28T02:07:00Z</dcterms:modified>
</cp:coreProperties>
</file>