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95" w:rsidRDefault="00B608CF" w:rsidP="00B608CF">
      <w:pPr>
        <w:spacing w:line="480" w:lineRule="auto"/>
      </w:pPr>
      <w:r>
        <w:t>MODEL SUPPLEMENT</w:t>
      </w:r>
    </w:p>
    <w:p w:rsidR="00B608CF" w:rsidRDefault="00B608CF" w:rsidP="00B608CF">
      <w:pPr>
        <w:spacing w:line="480" w:lineRule="auto"/>
      </w:pPr>
    </w:p>
    <w:p w:rsidR="00B608CF" w:rsidRDefault="00B608CF" w:rsidP="00B608CF">
      <w:pPr>
        <w:spacing w:line="480" w:lineRule="auto"/>
      </w:pPr>
      <w:r>
        <w:rPr>
          <w:noProof/>
        </w:rPr>
        <w:t>Speakers may plausibly have preferences related to both baseline (i.e. cost of production) and context-specific aspects of production</w:t>
      </w:r>
      <w:r>
        <w:t xml:space="preserve">. We therefore also consider two models that incorporate </w:t>
      </w:r>
      <w:r>
        <w:rPr>
          <w:noProof/>
        </w:rPr>
        <w:t>unequal biases (costs) to produce each utterance type</w:t>
      </w:r>
      <w:r>
        <w:rPr>
          <w:noProof/>
        </w:rPr>
        <w:t>.</w:t>
      </w:r>
    </w:p>
    <w:p w:rsidR="00B608CF" w:rsidRDefault="00B608CF" w:rsidP="00B608CF">
      <w:pPr>
        <w:spacing w:line="480" w:lineRule="auto"/>
      </w:pPr>
    </w:p>
    <w:p w:rsidR="00B608CF" w:rsidRDefault="00B608CF" w:rsidP="00B608CF">
      <w:pPr>
        <w:spacing w:line="480" w:lineRule="auto"/>
        <w:rPr>
          <w:noProof/>
        </w:rPr>
      </w:pPr>
      <w:r>
        <w:rPr>
          <w:b/>
          <w:noProof/>
        </w:rPr>
        <w:t>Succeed/fail, with utterance costs (p</w:t>
      </w:r>
      <w:r w:rsidRPr="00DF5621">
        <w:rPr>
          <w:b/>
          <w:noProof/>
          <w:vertAlign w:val="subscript"/>
        </w:rPr>
        <w:t>SFC</w:t>
      </w:r>
      <w:r>
        <w:rPr>
          <w:b/>
          <w:noProof/>
        </w:rPr>
        <w:t>):</w:t>
      </w:r>
      <w:r>
        <w:rPr>
          <w:noProof/>
        </w:rPr>
        <w:t>, This is constructed by multiplying the prior (context-insensitive) probability of each utterance by the (context sensative) probability under the succeed/fail model:</w:t>
      </w:r>
    </w:p>
    <w:p w:rsidR="00B608CF" w:rsidRDefault="00B608CF" w:rsidP="00B608CF">
      <w:pPr>
        <w:spacing w:line="480" w:lineRule="auto"/>
        <w:rPr>
          <w:noProof/>
        </w:rPr>
      </w:pPr>
      <w:r>
        <w:rPr>
          <w:noProof/>
        </w:rPr>
        <w:t>(10)</w:t>
      </w:r>
    </w:p>
    <w:p w:rsidR="00B608CF" w:rsidRPr="00DF5621" w:rsidRDefault="00B608CF" w:rsidP="00B608CF">
      <w:pPr>
        <w:spacing w:line="480" w:lineRule="auto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SFC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e>
              <m:r>
                <w:rPr>
                  <w:rFonts w:ascii="Cambria Math" w:hAnsi="Cambria Math"/>
                  <w:noProof/>
                </w:rPr>
                <m:t>e,E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*p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e,E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NP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*p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d'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e,E</m:t>
                      </m:r>
                    </m:e>
                  </m:d>
                </m:e>
              </m:nary>
            </m:den>
          </m:f>
        </m:oMath>
      </m:oMathPara>
    </w:p>
    <w:p w:rsidR="00B608CF" w:rsidRDefault="00B608CF" w:rsidP="00B608CF">
      <w:pPr>
        <w:spacing w:line="480" w:lineRule="auto"/>
        <w:rPr>
          <w:noProof/>
        </w:rPr>
      </w:pPr>
      <w:r>
        <w:rPr>
          <w:noProof/>
        </w:rPr>
        <w:t xml:space="preserve">(Note that in this kind of model, it would also be possible to calculate the relative weight given to cost and informativity that best fits the dataset; </w:t>
      </w:r>
    </w:p>
    <w:p w:rsidR="00B608CF" w:rsidRDefault="00B608CF" w:rsidP="00B608CF">
      <w:pPr>
        <w:spacing w:line="480" w:lineRule="auto"/>
        <w:rPr>
          <w:noProof/>
        </w:rPr>
      </w:pPr>
      <w:r w:rsidRPr="00A060BA">
        <w:rPr>
          <w:b/>
          <w:noProof/>
        </w:rPr>
        <w:t>Rational speaker</w:t>
      </w:r>
      <w:r>
        <w:rPr>
          <w:b/>
          <w:noProof/>
        </w:rPr>
        <w:t>, with utterance costs (</w:t>
      </w:r>
      <w:r w:rsidRPr="00D52DCE">
        <w:rPr>
          <w:b/>
          <w:i/>
          <w:noProof/>
        </w:rPr>
        <w:t>p</w:t>
      </w:r>
      <w:r w:rsidRPr="00D52DCE">
        <w:rPr>
          <w:b/>
          <w:i/>
          <w:noProof/>
          <w:vertAlign w:val="subscript"/>
        </w:rPr>
        <w:t>RSC</w:t>
      </w:r>
      <w:r>
        <w:rPr>
          <w:b/>
          <w:noProof/>
        </w:rPr>
        <w:t>)</w:t>
      </w:r>
      <w:r w:rsidRPr="00A060BA">
        <w:rPr>
          <w:b/>
          <w:noProof/>
        </w:rPr>
        <w:t>:</w:t>
      </w:r>
      <w:r>
        <w:rPr>
          <w:noProof/>
        </w:rPr>
        <w:t xml:space="preserve"> Exactly in parallel, we can update the RSA-based model to also consider the context-independent preferences the speaker has to produce each utterance: </w:t>
      </w:r>
    </w:p>
    <w:p w:rsidR="00B608CF" w:rsidRDefault="00B608CF" w:rsidP="00B608CF">
      <w:pPr>
        <w:spacing w:line="480" w:lineRule="auto"/>
        <w:rPr>
          <w:noProof/>
        </w:rPr>
      </w:pPr>
      <w:r>
        <w:rPr>
          <w:noProof/>
        </w:rPr>
        <w:t>(11)</w:t>
      </w:r>
    </w:p>
    <w:p w:rsidR="00B608CF" w:rsidRPr="00FF0178" w:rsidRDefault="00B608CF" w:rsidP="00B608CF">
      <w:pPr>
        <w:spacing w:line="480" w:lineRule="auto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RSC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e>
              <m:r>
                <w:rPr>
                  <w:rFonts w:ascii="Cambria Math" w:hAnsi="Cambria Math"/>
                  <w:noProof/>
                </w:rPr>
                <m:t>e,E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CM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*p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e,E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CM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*p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RS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d'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e,E</m:t>
                      </m:r>
                    </m:e>
                  </m:d>
                </m:e>
              </m:nary>
            </m:den>
          </m:f>
        </m:oMath>
      </m:oMathPara>
    </w:p>
    <w:p w:rsidR="00B608CF" w:rsidRDefault="00B608CF" w:rsidP="00B608CF">
      <w:pPr>
        <w:spacing w:line="480" w:lineRule="auto"/>
      </w:pPr>
    </w:p>
    <w:p w:rsidR="00B608CF" w:rsidRDefault="00B608CF" w:rsidP="00B608CF">
      <w:pPr>
        <w:spacing w:line="480" w:lineRule="auto"/>
      </w:pPr>
    </w:p>
    <w:p w:rsidR="00B608CF" w:rsidRDefault="00B608CF" w:rsidP="00B608CF">
      <w:pPr>
        <w:spacing w:line="480" w:lineRule="auto"/>
        <w:rPr>
          <w:noProof/>
        </w:rPr>
      </w:pPr>
    </w:p>
    <w:p w:rsidR="00B608CF" w:rsidRDefault="00B608CF" w:rsidP="00B608CF">
      <w:pPr>
        <w:spacing w:line="480" w:lineRule="auto"/>
        <w:rPr>
          <w:noProof/>
        </w:rPr>
      </w:pPr>
      <w:r>
        <w:rPr>
          <w:noProof/>
        </w:rPr>
        <w:lastRenderedPageBreak/>
        <w:t>The Succeed/Fail-with-</w:t>
      </w:r>
      <w:r>
        <w:rPr>
          <w:noProof/>
        </w:rPr>
        <w:t xml:space="preserve">cost </w:t>
      </w:r>
      <w:r>
        <w:rPr>
          <w:noProof/>
        </w:rPr>
        <w:t>model shows a closer fit</w:t>
      </w:r>
      <w:r>
        <w:rPr>
          <w:noProof/>
        </w:rPr>
        <w:t xml:space="preserve"> to the data</w:t>
      </w:r>
      <w:r>
        <w:rPr>
          <w:noProof/>
        </w:rPr>
        <w:t xml:space="preserve"> than the base version,</w:t>
      </w:r>
      <w:r>
        <w:rPr>
          <w:noProof/>
        </w:rPr>
        <w:t xml:space="preserve"> that are better still (r(36) = 0.81</w:t>
      </w:r>
      <w:r>
        <w:rPr>
          <w:noProof/>
        </w:rPr>
        <w:t>), but</w:t>
      </w:r>
      <w:r>
        <w:rPr>
          <w:noProof/>
        </w:rPr>
        <w:t xml:space="preserve"> the closest fit to the human data was </w:t>
      </w:r>
      <w:r>
        <w:rPr>
          <w:noProof/>
        </w:rPr>
        <w:t xml:space="preserve">again </w:t>
      </w:r>
      <w:r>
        <w:rPr>
          <w:noProof/>
        </w:rPr>
        <w:t xml:space="preserve">found with the baseline-adjusted rational </w:t>
      </w:r>
      <w:r w:rsidRPr="00343F84">
        <w:rPr>
          <w:noProof/>
        </w:rPr>
        <w:t>speaker model (r(36) = 0.89).</w:t>
      </w:r>
    </w:p>
    <w:p w:rsidR="00B608CF" w:rsidRDefault="00B608CF" w:rsidP="00B608CF">
      <w:pPr>
        <w:spacing w:line="480" w:lineRule="auto"/>
        <w:rPr>
          <w:noProof/>
        </w:rPr>
      </w:pPr>
    </w:p>
    <w:p w:rsidR="00B608CF" w:rsidRDefault="00B608CF" w:rsidP="00B608CF">
      <w:pPr>
        <w:spacing w:line="480" w:lineRule="auto"/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1387D" wp14:editId="2B110680">
                <wp:simplePos x="0" y="0"/>
                <wp:positionH relativeFrom="column">
                  <wp:posOffset>-228600</wp:posOffset>
                </wp:positionH>
                <wp:positionV relativeFrom="paragraph">
                  <wp:posOffset>2342515</wp:posOffset>
                </wp:positionV>
                <wp:extent cx="6057900" cy="336169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36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8CF" w:rsidRDefault="00B608CF" w:rsidP="00B608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80B71" wp14:editId="218BBE14">
                                  <wp:extent cx="5862955" cy="2608580"/>
                                  <wp:effectExtent l="0" t="0" r="4445" b="7620"/>
                                  <wp:docPr id="21" name="Picture 21" descr="Macintosh HD:Users:mekline:Dropbox:_Projects:SubDrop:SubDrop-Multidistractor-Models:MODEL:fitlin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mekline:Dropbox:_Projects:SubDrop:SubDrop-Multidistractor-Models:MODEL:fitlin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2955" cy="2608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Figure 4: Global (gray) and individual-word correlations between the three best models and human data, showing Simpson's paradox effects for the Succeed/Fail model and close fits to the data for all words in both Rational Speaker models.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-17.95pt;margin-top:184.45pt;width:477pt;height:26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" filled="f" stroked="f">
                <v:textbox>
                  <w:txbxContent>
                    <w:p w:rsidR="00B608CF" w:rsidRDefault="00B608CF" w:rsidP="00B608CF">
                      <w:r>
                        <w:rPr>
                          <w:noProof/>
                        </w:rPr>
                        <w:drawing>
                          <wp:inline distT="0" distB="0" distL="0" distR="0" wp14:anchorId="3B680B71" wp14:editId="218BBE14">
                            <wp:extent cx="5862955" cy="2608580"/>
                            <wp:effectExtent l="0" t="0" r="4445" b="7620"/>
                            <wp:docPr id="21" name="Picture 21" descr="Macintosh HD:Users:mekline:Dropbox:_Projects:SubDrop:SubDrop-Multidistractor-Models:MODEL:fitlin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mekline:Dropbox:_Projects:SubDrop:SubDrop-Multidistractor-Models:MODEL:fitlin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62955" cy="2608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Figure 4: Global (gray) and individual-word correlations between the three best models and human data, showing Simpson's paradox effects for the Succeed/Fail model and close fits to the data for all words in both Rational Speaker models.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In an exploratory analysis, we asked why it is that correlation between human data and the Succeed/Fail with cost model is as high is it is: as can be seen in the plots below (Figure 4), this appears to be due to a Simpson's paradox effect </w:t>
      </w:r>
      <w:r>
        <w:rPr>
          <w:noProof/>
        </w:rPr>
        <w:fldChar w:fldCharType="begin"/>
      </w:r>
      <w:r>
        <w:rPr>
          <w:noProof/>
        </w:rPr>
        <w:instrText xml:space="preserve"> ADDIN ZOTERO_ITEM CSL_CITATION {"citationID":"1llushtmst","properties":{"formattedCitation":"(Blyth, 1972)","plainCitation":"(Blyth, 1972)"},"citationItems":[{"id":3457,"uris":["http://zotero.org/users/178617/items/AB5SITHT"],"uri":["http://zotero.org/users/178617/items/AB5SITHT"],"itemData":{"id":3457,"type":"article-journal","title":"On Simpson's paradox and the sure-thing principle","container-title":"Journal of the American Statistical Association","volume":"67","issue":"338","author":[{"family":"Blyth","given":"Colin"}],"issued":{"date-parts":[["1972"]]}}}],"schema":"https://github.com/citation-style-language/schema/raw/master/csl-citation.json"} </w:instrText>
      </w:r>
      <w:r>
        <w:rPr>
          <w:noProof/>
        </w:rPr>
        <w:fldChar w:fldCharType="separate"/>
      </w:r>
      <w:r>
        <w:rPr>
          <w:noProof/>
        </w:rPr>
        <w:t>(Blyth, 1972)</w:t>
      </w:r>
      <w:r>
        <w:rPr>
          <w:noProof/>
        </w:rPr>
        <w:fldChar w:fldCharType="end"/>
      </w:r>
      <w:r>
        <w:rPr>
          <w:noProof/>
        </w:rPr>
        <w:t>, whereby the global fit to the data (shown in gray) results from the high (but uncorrelated) rates at which both the model and the human participants produce verbs.</w:t>
      </w:r>
      <w:bookmarkStart w:id="0" w:name="_GoBack"/>
      <w:bookmarkEnd w:id="0"/>
    </w:p>
    <w:p w:rsidR="00B608CF" w:rsidRDefault="00B608CF" w:rsidP="00B608CF">
      <w:pPr>
        <w:spacing w:line="480" w:lineRule="auto"/>
      </w:pPr>
    </w:p>
    <w:sectPr w:rsidR="00B608CF" w:rsidSect="00A64A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CF"/>
    <w:rsid w:val="00A64A8A"/>
    <w:rsid w:val="00B608CF"/>
    <w:rsid w:val="00C5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19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8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8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1</cp:revision>
  <dcterms:created xsi:type="dcterms:W3CDTF">2017-05-09T17:52:00Z</dcterms:created>
  <dcterms:modified xsi:type="dcterms:W3CDTF">2017-05-09T18:03:00Z</dcterms:modified>
</cp:coreProperties>
</file>