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工伤保险待遇说明（验证样本）</w:t>
      </w:r>
    </w:p>
    <w:p>
      <w:r>
        <w:t>本文档用于验证知识库上传、解析、分块、索引与问答全流程。文档编号：YZ-2026-0718。</w:t>
      </w:r>
    </w:p>
    <w:p>
      <w:pPr>
        <w:pStyle w:val="Heading1"/>
      </w:pPr>
      <w:r>
        <w:t>第一章 总则</w:t>
      </w:r>
    </w:p>
    <w:p>
      <w:r>
        <w:t>第一条 为保障因工作遭受事故伤害或者患职业病的职工获得医疗救治和经济补偿，促进工伤预防和职业康复，分散用人单位的工伤风险，制定本说明。</w:t>
      </w:r>
    </w:p>
    <w:p>
      <w:r>
        <w:t>第二条 中华人民共和国境内的企业、事业单位、社会团体、民办非企业单位、基金会、律师事务所、会计师事务所等组织和有雇工的个体工商户（以下称用人单位）应当依照本说明参加工伤保险，为本单位全部职工或者雇工（以下称职工）缴纳工伤保险费。</w:t>
      </w:r>
    </w:p>
    <w:p>
      <w:pPr>
        <w:pStyle w:val="Heading1"/>
      </w:pPr>
      <w:r>
        <w:t>第二章 工伤认定</w:t>
      </w:r>
    </w:p>
    <w:p>
      <w:pPr>
        <w:pStyle w:val="Heading2"/>
      </w:pPr>
      <w:r>
        <w:t>第一节 认定情形</w:t>
      </w:r>
    </w:p>
    <w:p>
      <w:r>
        <w:t>第三条 职工有下列情形之一的，应当认定为工伤：（一）在工作时间和工作场所内，因工作原因受到事故伤害的；（二）工作时间前后在工作场所内，从事与工作有关的预备性或者收尾性工作受到事故伤害的；（三）在工作时间和工作场所内，因履行工作职责受到暴力等意外伤害的；（四）患职业病的；（五）因工外出期间，由于工作原因受到伤害或者发生事故下落不明的；（六）在上下班途中，受到非本人主要责任的交通事故或者城市轨道交通、客运轮渡、火车事故伤害的。</w:t>
      </w:r>
    </w:p>
    <w:p>
      <w:r>
        <w:t>第四条 职工有下列情形之一的，视同工伤：（一）在工作时间和工作岗位，突发疾病死亡或者在48小时之内经抢救无效死亡的；（二）在抢险救灾等维护国家利益、公共利益活动中受到伤害的；（三）职工原在军队服役，因战、因公负伤致残，已取得革命伤残军人证，到用人单位后旧伤复发的。</w:t>
      </w:r>
    </w:p>
    <w:p>
      <w:pPr>
        <w:pStyle w:val="Heading2"/>
      </w:pPr>
      <w:r>
        <w:t>第二节 排除情形</w:t>
      </w:r>
    </w:p>
    <w:p>
      <w:r>
        <w:t>第五条 职工符合本说明第三条、第四条的规定，但是有下列情形之一的，不得认定为工伤或者视同工伤：（一）故意犯罪的；（二）醉酒或者吸毒的；（三）自残或者自杀的。</w:t>
      </w:r>
    </w:p>
    <w:p>
      <w:pPr>
        <w:pStyle w:val="Heading1"/>
      </w:pPr>
      <w:r>
        <w:t>第三章 待遇标准</w:t>
      </w:r>
    </w:p>
    <w:p>
      <w:r>
        <w:t>第六条 职工因工作遭受事故伤害或者患职业病进行治疗，享受工伤医疗待遇。治疗工伤所需费用符合工伤保险诊疗项目目录、工伤保险药品目录、工伤保险住院服务标准的，从工伤保险基金支付。</w:t>
      </w:r>
    </w:p>
    <w:p>
      <w:r>
        <w:t>第七条 职工因工致残被鉴定为一级至四级伤残的，保留劳动关系，退出工作岗位，享受以下待遇：（一）从工伤保险基金按伤残等级支付一次性伤残补助金，标准为：一级伤残为27个月的本人工资，二级伤残为25个月的本人工资，三级伤残为23个月的本人工资，四级伤残为21个月的本人工资；（二）从工伤保险基金按月支付伤残津贴，标准为：一级伤残为本人工资的90%，二级伤残为本人工资的85%，三级伤残为本人工资的80%，四级伤残为本人工资的75%。</w:t>
      </w:r>
    </w:p>
    <w:tbl>
      <w:tblPr>
        <w:tblStyle w:val="TableGrid"/>
        <w:tblW w:type="auto" w:w="0"/>
        <w:tblLook w:firstColumn="1" w:firstRow="1" w:lastColumn="0" w:lastRow="0" w:noHBand="0" w:noVBand="1" w:val="04A0"/>
      </w:tblPr>
      <w:tblGrid>
        <w:gridCol w:w="2880"/>
        <w:gridCol w:w="2880"/>
        <w:gridCol w:w="2880"/>
      </w:tblGrid>
      <w:tr>
        <w:tc>
          <w:tcPr>
            <w:tcW w:type="dxa" w:w="2880"/>
          </w:tcPr>
          <w:p>
            <w:r>
              <w:t>伤残等级</w:t>
            </w:r>
          </w:p>
        </w:tc>
        <w:tc>
          <w:tcPr>
            <w:tcW w:type="dxa" w:w="2880"/>
          </w:tcPr>
          <w:p>
            <w:r>
              <w:t>一次性伤残补助金</w:t>
            </w:r>
          </w:p>
        </w:tc>
        <w:tc>
          <w:tcPr>
            <w:tcW w:type="dxa" w:w="2880"/>
          </w:tcPr>
          <w:p>
            <w:r>
              <w:t>伤残津贴（月）</w:t>
            </w:r>
          </w:p>
        </w:tc>
      </w:tr>
      <w:tr>
        <w:tc>
          <w:tcPr>
            <w:tcW w:type="dxa" w:w="2880"/>
          </w:tcPr>
          <w:p>
            <w:r>
              <w:t>一级伤残</w:t>
            </w:r>
          </w:p>
        </w:tc>
        <w:tc>
          <w:tcPr>
            <w:tcW w:type="dxa" w:w="2880"/>
          </w:tcPr>
          <w:p>
            <w:r>
              <w:t>27个月本人工资</w:t>
            </w:r>
          </w:p>
        </w:tc>
        <w:tc>
          <w:tcPr>
            <w:tcW w:type="dxa" w:w="2880"/>
          </w:tcPr>
          <w:p>
            <w:r>
              <w:t>本人工资的90%</w:t>
            </w:r>
          </w:p>
        </w:tc>
      </w:tr>
      <w:tr>
        <w:tc>
          <w:tcPr>
            <w:tcW w:type="dxa" w:w="2880"/>
          </w:tcPr>
          <w:p>
            <w:r>
              <w:t>二级伤残</w:t>
            </w:r>
          </w:p>
        </w:tc>
        <w:tc>
          <w:tcPr>
            <w:tcW w:type="dxa" w:w="2880"/>
          </w:tcPr>
          <w:p>
            <w:r>
              <w:t>25个月本人工资</w:t>
            </w:r>
          </w:p>
        </w:tc>
        <w:tc>
          <w:tcPr>
            <w:tcW w:type="dxa" w:w="2880"/>
          </w:tcPr>
          <w:p>
            <w:r>
              <w:t>本人工资的85%</w:t>
            </w:r>
          </w:p>
        </w:tc>
      </w:tr>
      <w:tr>
        <w:tc>
          <w:tcPr>
            <w:tcW w:type="dxa" w:w="2880"/>
          </w:tcPr>
          <w:p>
            <w:r>
              <w:t>三级伤残</w:t>
            </w:r>
          </w:p>
        </w:tc>
        <w:tc>
          <w:tcPr>
            <w:tcW w:type="dxa" w:w="2880"/>
          </w:tcPr>
          <w:p>
            <w:r>
              <w:t>23个月本人工资</w:t>
            </w:r>
          </w:p>
        </w:tc>
        <w:tc>
          <w:tcPr>
            <w:tcW w:type="dxa" w:w="2880"/>
          </w:tcPr>
          <w:p>
            <w:r>
              <w:t>本人工资的80%</w:t>
            </w:r>
          </w:p>
        </w:tc>
      </w:tr>
      <w:tr>
        <w:tc>
          <w:tcPr>
            <w:tcW w:type="dxa" w:w="2880"/>
          </w:tcPr>
          <w:p>
            <w:r>
              <w:t>四级伤残</w:t>
            </w:r>
          </w:p>
        </w:tc>
        <w:tc>
          <w:tcPr>
            <w:tcW w:type="dxa" w:w="2880"/>
          </w:tcPr>
          <w:p>
            <w:r>
              <w:t>21个月本人工资</w:t>
            </w:r>
          </w:p>
        </w:tc>
        <w:tc>
          <w:tcPr>
            <w:tcW w:type="dxa" w:w="2880"/>
          </w:tcPr>
          <w:p>
            <w:r>
              <w:t>本人工资的75%</w:t>
            </w:r>
          </w:p>
        </w:tc>
      </w:tr>
    </w:tbl>
    <w:p>
      <w:r>
        <w:t>第八条 职工因工致残被鉴定为五级、六级伤残的，享受以下待遇：（一）从工伤保险基金按伤残等级支付一次性伤残补助金，标准为：五级伤残为18个月的本人工资，六级伤残为16个月的本人工资；（二）保留与用人单位的劳动关系，由用人单位安排适当工作。难以安排工作的，由用人单位按月发给伤残津贴，标准为：五级伤残为本人工资的70%，六级伤残为本人工资的60%。</w:t>
      </w:r>
    </w:p>
    <w:p>
      <w:pPr>
        <w:pStyle w:val="Heading1"/>
      </w:pPr>
      <w:r>
        <w:t>第四章 附则</w:t>
      </w:r>
    </w:p>
    <w:p>
      <w:r>
        <w:t>第九条 本说明中的本人工资，是指工伤职工因工作遭受事故伤害或者患职业病前12个月平均月缴费工资。本人工资高于统筹地区职工平均工资300%的，按照统筹地区职工平均工资的300%计算；本人工资低于统筹地区职工平均工资60%的，按照统筹地区职工平均工资的60%计算。</w:t>
      </w:r>
    </w:p>
    <w:p>
      <w:r>
        <w:t>第十条 本说明自发布之日起施行，验证码：MINERU-WORD-FLOW-OK-2026。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