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EA0D" w14:textId="5C8775AA" w:rsidR="00E51CA9" w:rsidRDefault="00E51CA9" w:rsidP="00E51CA9">
      <w:pPr>
        <w:rPr>
          <w:rFonts w:ascii="Calibri" w:hAnsi="Calibri" w:cs="Calibri"/>
          <w:b/>
          <w:bCs/>
        </w:rPr>
      </w:pPr>
      <w:r w:rsidRPr="00C76BA0">
        <w:rPr>
          <w:rFonts w:ascii="Calibri" w:hAnsi="Calibri" w:cs="Calibri" w:hint="eastAsia"/>
          <w:b/>
          <w:bCs/>
        </w:rPr>
        <w:t>Figures</w:t>
      </w:r>
    </w:p>
    <w:p w14:paraId="49EFE62A" w14:textId="77777777" w:rsidR="00E51CA9" w:rsidRPr="00C76BA0" w:rsidRDefault="00E51CA9" w:rsidP="00E51CA9">
      <w:pPr>
        <w:rPr>
          <w:rFonts w:ascii="Calibri" w:hAnsi="Calibri" w:cs="Calibri"/>
        </w:rPr>
      </w:pPr>
      <w:r w:rsidRPr="00C76BA0">
        <w:rPr>
          <w:rFonts w:ascii="Calibri" w:hAnsi="Calibri" w:cs="Calibri"/>
        </w:rPr>
        <w:t>The compliance distributions mirror the baseline</w:t>
      </w:r>
      <w:r w:rsidRPr="00C76BA0">
        <w:rPr>
          <w:rFonts w:ascii="Calibri" w:hAnsi="Calibri" w:cs="Calibri" w:hint="eastAsia"/>
        </w:rPr>
        <w:t xml:space="preserve"> case</w:t>
      </w:r>
      <w:r w:rsidRPr="00C76BA0">
        <w:rPr>
          <w:rFonts w:ascii="Calibri" w:hAnsi="Calibri" w:cs="Calibri"/>
        </w:rPr>
        <w:t xml:space="preserve">, with </w:t>
      </w:r>
      <w:r w:rsidRPr="00C76BA0">
        <w:rPr>
          <w:rFonts w:ascii="Calibri" w:hAnsi="Calibri" w:cs="Calibri" w:hint="eastAsia"/>
        </w:rPr>
        <w:t>compliant</w:t>
      </w:r>
      <w:r w:rsidRPr="00C76BA0">
        <w:rPr>
          <w:rFonts w:ascii="Calibri" w:hAnsi="Calibri" w:cs="Calibri"/>
        </w:rPr>
        <w:t xml:space="preserve"> FBOs remaining relatively stable and only minor fluctuations in </w:t>
      </w:r>
      <w:r w:rsidRPr="00C76BA0">
        <w:rPr>
          <w:rFonts w:ascii="Calibri" w:hAnsi="Calibri" w:cs="Calibri" w:hint="eastAsia"/>
        </w:rPr>
        <w:t xml:space="preserve">compliance level 2 </w:t>
      </w:r>
      <w:r w:rsidRPr="00C76BA0">
        <w:rPr>
          <w:rFonts w:ascii="Calibri" w:hAnsi="Calibri" w:cs="Calibri"/>
        </w:rPr>
        <w:t>FBOs</w:t>
      </w:r>
      <w:r w:rsidRPr="00C76BA0">
        <w:rPr>
          <w:rFonts w:ascii="Calibri" w:hAnsi="Calibri" w:cs="Calibri" w:hint="eastAsia"/>
        </w:rPr>
        <w:t xml:space="preserve"> in the tuned risk-based inspection scenario</w:t>
      </w:r>
      <w:r w:rsidRPr="00C76BA0">
        <w:rPr>
          <w:rFonts w:ascii="Calibri" w:hAnsi="Calibri" w:cs="Calibri"/>
        </w:rPr>
        <w:t>. In contrast, the equal</w:t>
      </w:r>
      <w:r w:rsidRPr="00C76BA0">
        <w:rPr>
          <w:rFonts w:ascii="Calibri" w:hAnsi="Calibri" w:cs="Calibri" w:hint="eastAsia"/>
        </w:rPr>
        <w:t xml:space="preserve"> </w:t>
      </w:r>
      <w:r w:rsidRPr="00C76BA0">
        <w:rPr>
          <w:rFonts w:ascii="Calibri" w:hAnsi="Calibri" w:cs="Calibri"/>
        </w:rPr>
        <w:t xml:space="preserve">weight risk-based </w:t>
      </w:r>
      <w:r w:rsidRPr="00C76BA0">
        <w:rPr>
          <w:rFonts w:ascii="Calibri" w:hAnsi="Calibri" w:cs="Calibri" w:hint="eastAsia"/>
        </w:rPr>
        <w:t xml:space="preserve">method </w:t>
      </w:r>
      <w:r w:rsidRPr="00C76BA0">
        <w:rPr>
          <w:rFonts w:ascii="Calibri" w:hAnsi="Calibri" w:cs="Calibri"/>
        </w:rPr>
        <w:t xml:space="preserve">occasionally shows </w:t>
      </w:r>
      <w:r w:rsidRPr="00C76BA0">
        <w:rPr>
          <w:rFonts w:ascii="Calibri" w:hAnsi="Calibri" w:cs="Calibri" w:hint="eastAsia"/>
        </w:rPr>
        <w:t>slightly more</w:t>
      </w:r>
      <w:r w:rsidRPr="00C76BA0">
        <w:rPr>
          <w:rFonts w:ascii="Calibri" w:hAnsi="Calibri" w:cs="Calibri"/>
        </w:rPr>
        <w:t xml:space="preserve"> transitions</w:t>
      </w:r>
      <w:r w:rsidRPr="00C76BA0">
        <w:rPr>
          <w:rFonts w:ascii="Calibri" w:hAnsi="Calibri" w:cs="Calibri" w:hint="eastAsia"/>
        </w:rPr>
        <w:t xml:space="preserve"> towards worse compliance level than the random scenario.</w:t>
      </w:r>
    </w:p>
    <w:p w14:paraId="135DB340" w14:textId="77777777" w:rsidR="00E51CA9" w:rsidRPr="00C76BA0" w:rsidRDefault="00E51CA9" w:rsidP="00E51CA9">
      <w:pPr>
        <w:rPr>
          <w:rFonts w:ascii="Calibri" w:hAnsi="Calibri" w:cs="Calibri"/>
          <w:b/>
          <w:bCs/>
        </w:rPr>
      </w:pPr>
    </w:p>
    <w:p w14:paraId="0CB25780" w14:textId="77777777" w:rsidR="00E51CA9" w:rsidRPr="00C76BA0" w:rsidRDefault="00E51CA9" w:rsidP="00E51CA9">
      <w:pPr>
        <w:rPr>
          <w:rFonts w:ascii="Calibri" w:hAnsi="Calibri" w:cs="Calibri"/>
          <w:b/>
          <w:bCs/>
        </w:rPr>
      </w:pPr>
      <w:r w:rsidRPr="00D111AD">
        <w:rPr>
          <w:rFonts w:ascii="Calibri" w:hAnsi="Calibri" w:cs="Calibri"/>
          <w:b/>
          <w:bCs/>
          <w:noProof/>
        </w:rPr>
        <w:drawing>
          <wp:inline distT="0" distB="0" distL="0" distR="0" wp14:anchorId="00E74E8E" wp14:editId="44BD4A2B">
            <wp:extent cx="5725160" cy="6853720"/>
            <wp:effectExtent l="0" t="0" r="8890" b="4445"/>
            <wp:docPr id="98083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8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37449" w14:textId="65F05484" w:rsidR="00E51CA9" w:rsidRPr="00C76BA0" w:rsidRDefault="00E51CA9" w:rsidP="00E51CA9">
      <w:pPr>
        <w:rPr>
          <w:rFonts w:ascii="Calibri" w:hAnsi="Calibri" w:cs="Calibri"/>
        </w:rPr>
      </w:pPr>
      <w:r w:rsidRPr="00C76BA0">
        <w:rPr>
          <w:rFonts w:ascii="Calibri" w:hAnsi="Calibri" w:cs="Calibri" w:hint="eastAsia"/>
          <w:b/>
          <w:bCs/>
        </w:rPr>
        <w:t>Figure 1</w:t>
      </w:r>
      <w:r w:rsidRPr="00C76BA0">
        <w:rPr>
          <w:rFonts w:ascii="Calibri" w:hAnsi="Calibri" w:cs="Calibri" w:hint="eastAsia"/>
        </w:rPr>
        <w:t xml:space="preserve"> Compliance distribution </w:t>
      </w:r>
      <w:r w:rsidRPr="00C76BA0">
        <w:rPr>
          <w:rFonts w:ascii="Calibri" w:hAnsi="Calibri" w:cs="Calibri"/>
        </w:rPr>
        <w:t>–</w:t>
      </w:r>
      <w:r w:rsidRPr="00C76BA0">
        <w:rPr>
          <w:rFonts w:ascii="Calibri" w:hAnsi="Calibri" w:cs="Calibri" w:hint="eastAsia"/>
        </w:rPr>
        <w:t xml:space="preserve"> baseline (deterioration step = 0.1; improvement step = 1)</w:t>
      </w:r>
    </w:p>
    <w:p w14:paraId="3B20E37F" w14:textId="77777777" w:rsidR="00E51CA9" w:rsidRPr="00C76BA0" w:rsidRDefault="00E51CA9" w:rsidP="00E51CA9">
      <w:pPr>
        <w:rPr>
          <w:rFonts w:ascii="Calibri" w:hAnsi="Calibri" w:cs="Calibri"/>
          <w:b/>
          <w:bCs/>
        </w:rPr>
      </w:pPr>
    </w:p>
    <w:p w14:paraId="77C443D8" w14:textId="77777777" w:rsidR="00E51CA9" w:rsidRPr="00C76BA0" w:rsidRDefault="00E51CA9" w:rsidP="00E51CA9">
      <w:pPr>
        <w:rPr>
          <w:rFonts w:ascii="Calibri" w:hAnsi="Calibri" w:cs="Calibri"/>
          <w:b/>
          <w:bCs/>
        </w:rPr>
      </w:pPr>
      <w:r w:rsidRPr="00D111AD">
        <w:rPr>
          <w:rFonts w:ascii="Calibri" w:hAnsi="Calibri" w:cs="Calibri"/>
          <w:b/>
          <w:bCs/>
          <w:noProof/>
        </w:rPr>
        <w:drawing>
          <wp:inline distT="0" distB="0" distL="0" distR="0" wp14:anchorId="2CD33063" wp14:editId="3CF3FFF6">
            <wp:extent cx="5725160" cy="6869623"/>
            <wp:effectExtent l="0" t="0" r="8890" b="7620"/>
            <wp:docPr id="606468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86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BA4F6" w14:textId="6778D724" w:rsidR="00E51CA9" w:rsidRPr="00C76BA0" w:rsidRDefault="00E51CA9" w:rsidP="00E51CA9">
      <w:pPr>
        <w:rPr>
          <w:rFonts w:ascii="Calibri" w:hAnsi="Calibri" w:cs="Calibri"/>
        </w:rPr>
      </w:pPr>
      <w:r w:rsidRPr="00C76BA0">
        <w:rPr>
          <w:rFonts w:ascii="Calibri" w:hAnsi="Calibri" w:cs="Calibri" w:hint="eastAsia"/>
          <w:b/>
          <w:bCs/>
        </w:rPr>
        <w:t>Figure 2</w:t>
      </w:r>
      <w:r w:rsidRPr="00C76BA0">
        <w:rPr>
          <w:rFonts w:ascii="Calibri" w:hAnsi="Calibri" w:cs="Calibri" w:hint="eastAsia"/>
        </w:rPr>
        <w:t xml:space="preserve"> Compliance distribution </w:t>
      </w:r>
      <w:r w:rsidRPr="00C76BA0">
        <w:rPr>
          <w:rFonts w:ascii="Calibri" w:hAnsi="Calibri" w:cs="Calibri"/>
        </w:rPr>
        <w:t>–</w:t>
      </w:r>
      <w:r w:rsidRPr="00C76BA0">
        <w:rPr>
          <w:rFonts w:ascii="Calibri" w:hAnsi="Calibri" w:cs="Calibri" w:hint="eastAsia"/>
        </w:rPr>
        <w:t xml:space="preserve"> deterioration step = 0.05</w:t>
      </w:r>
    </w:p>
    <w:p w14:paraId="1FA45600" w14:textId="77777777" w:rsidR="00E51CA9" w:rsidRPr="00C76BA0" w:rsidRDefault="00E51CA9" w:rsidP="00E51CA9">
      <w:pPr>
        <w:rPr>
          <w:rFonts w:ascii="Calibri" w:hAnsi="Calibri" w:cs="Calibri"/>
        </w:rPr>
      </w:pPr>
    </w:p>
    <w:p w14:paraId="7E83EF4D" w14:textId="77777777" w:rsidR="00E51CA9" w:rsidRPr="00C76BA0" w:rsidRDefault="00E51CA9" w:rsidP="00E51CA9">
      <w:pPr>
        <w:rPr>
          <w:rFonts w:ascii="Calibri" w:hAnsi="Calibri" w:cs="Calibri"/>
        </w:rPr>
      </w:pPr>
      <w:r w:rsidRPr="00D111AD">
        <w:rPr>
          <w:rFonts w:ascii="Calibri" w:hAnsi="Calibri" w:cs="Calibri"/>
          <w:noProof/>
        </w:rPr>
        <w:lastRenderedPageBreak/>
        <w:drawing>
          <wp:inline distT="0" distB="0" distL="0" distR="0" wp14:anchorId="77AF4A78" wp14:editId="1AC8D016">
            <wp:extent cx="5725160" cy="6861672"/>
            <wp:effectExtent l="0" t="0" r="8890" b="0"/>
            <wp:docPr id="661142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04ABF" w14:textId="77777777" w:rsidR="00E51CA9" w:rsidRPr="00C76BA0" w:rsidRDefault="00E51CA9" w:rsidP="00E51CA9">
      <w:pPr>
        <w:rPr>
          <w:rFonts w:ascii="Calibri" w:hAnsi="Calibri" w:cs="Calibri"/>
        </w:rPr>
      </w:pPr>
    </w:p>
    <w:p w14:paraId="22C038E9" w14:textId="3C99C2B8" w:rsidR="00E51CA9" w:rsidRPr="00C76BA0" w:rsidRDefault="00E51CA9" w:rsidP="00E51CA9">
      <w:pPr>
        <w:rPr>
          <w:rFonts w:ascii="Calibri" w:hAnsi="Calibri" w:cs="Calibri"/>
        </w:rPr>
      </w:pPr>
      <w:r w:rsidRPr="00C76BA0">
        <w:rPr>
          <w:rFonts w:ascii="Calibri" w:hAnsi="Calibri" w:cs="Calibri" w:hint="eastAsia"/>
          <w:b/>
          <w:bCs/>
        </w:rPr>
        <w:t>Figure 3</w:t>
      </w:r>
      <w:r w:rsidRPr="00C76BA0">
        <w:rPr>
          <w:rFonts w:ascii="Calibri" w:hAnsi="Calibri" w:cs="Calibri" w:hint="eastAsia"/>
        </w:rPr>
        <w:t xml:space="preserve"> Compliance distribution </w:t>
      </w:r>
      <w:r w:rsidRPr="00C76BA0">
        <w:rPr>
          <w:rFonts w:ascii="Calibri" w:hAnsi="Calibri" w:cs="Calibri"/>
        </w:rPr>
        <w:t>–</w:t>
      </w:r>
      <w:r w:rsidRPr="00C76BA0">
        <w:rPr>
          <w:rFonts w:ascii="Calibri" w:hAnsi="Calibri" w:cs="Calibri" w:hint="eastAsia"/>
        </w:rPr>
        <w:t xml:space="preserve"> deterioration step = 0.15</w:t>
      </w:r>
    </w:p>
    <w:p w14:paraId="43540CF9" w14:textId="77777777" w:rsidR="00E51CA9" w:rsidRPr="00C76BA0" w:rsidRDefault="00E51CA9" w:rsidP="00E51CA9">
      <w:pPr>
        <w:rPr>
          <w:rFonts w:ascii="Calibri" w:hAnsi="Calibri" w:cs="Calibri"/>
        </w:rPr>
      </w:pPr>
      <w:r w:rsidRPr="00D111AD">
        <w:rPr>
          <w:rFonts w:ascii="Calibri" w:hAnsi="Calibri" w:cs="Calibri"/>
          <w:noProof/>
        </w:rPr>
        <w:lastRenderedPageBreak/>
        <w:drawing>
          <wp:inline distT="0" distB="0" distL="0" distR="0" wp14:anchorId="24E3A473" wp14:editId="4C289C0E">
            <wp:extent cx="5725160" cy="6869623"/>
            <wp:effectExtent l="0" t="0" r="8890" b="7620"/>
            <wp:docPr id="809441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86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28D7E" w14:textId="03160C3B" w:rsidR="00E51CA9" w:rsidRPr="007644F0" w:rsidRDefault="00E51CA9" w:rsidP="00E51CA9">
      <w:pPr>
        <w:rPr>
          <w:rFonts w:ascii="Calibri" w:hAnsi="Calibri" w:cs="Calibri"/>
        </w:rPr>
      </w:pPr>
      <w:r w:rsidRPr="00C76BA0">
        <w:rPr>
          <w:rFonts w:ascii="Calibri" w:hAnsi="Calibri" w:cs="Calibri" w:hint="eastAsia"/>
          <w:b/>
          <w:bCs/>
        </w:rPr>
        <w:t>Figure 4</w:t>
      </w:r>
      <w:r w:rsidRPr="00C76BA0">
        <w:rPr>
          <w:rFonts w:ascii="Calibri" w:hAnsi="Calibri" w:cs="Calibri" w:hint="eastAsia"/>
        </w:rPr>
        <w:t xml:space="preserve"> Compliance distribution </w:t>
      </w:r>
      <w:r w:rsidRPr="00C76BA0">
        <w:rPr>
          <w:rFonts w:ascii="Calibri" w:hAnsi="Calibri" w:cs="Calibri"/>
        </w:rPr>
        <w:t>–</w:t>
      </w:r>
      <w:r w:rsidRPr="00C76BA0">
        <w:rPr>
          <w:rFonts w:ascii="Calibri" w:hAnsi="Calibri" w:cs="Calibri" w:hint="eastAsia"/>
        </w:rPr>
        <w:t xml:space="preserve"> improvement step = 2</w:t>
      </w:r>
      <w:r>
        <w:rPr>
          <w:rFonts w:ascii="Calibri" w:hAnsi="Calibri" w:cs="Calibri" w:hint="eastAsia"/>
        </w:rPr>
        <w:t xml:space="preserve"> </w:t>
      </w:r>
    </w:p>
    <w:p w14:paraId="4D7AD6DE" w14:textId="77777777" w:rsidR="00E51CA9" w:rsidRDefault="00E51CA9" w:rsidP="00E51CA9"/>
    <w:p w14:paraId="7C91D00C" w14:textId="77777777" w:rsidR="00E51CA9" w:rsidRDefault="00E51CA9" w:rsidP="00E51CA9"/>
    <w:p w14:paraId="6F85D175" w14:textId="77777777" w:rsidR="00056D2E" w:rsidRDefault="00056D2E"/>
    <w:sectPr w:rsidR="00056D2E" w:rsidSect="00E51CA9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A9"/>
    <w:rsid w:val="00056D2E"/>
    <w:rsid w:val="001B7DBD"/>
    <w:rsid w:val="00216757"/>
    <w:rsid w:val="00495CEF"/>
    <w:rsid w:val="00785811"/>
    <w:rsid w:val="008E3D22"/>
    <w:rsid w:val="00944055"/>
    <w:rsid w:val="00E5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D36A8"/>
  <w15:chartTrackingRefBased/>
  <w15:docId w15:val="{B6D08C1A-E711-41E2-A8E7-85992AA9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CA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C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CA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CA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CA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A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A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A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A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5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C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CA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5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A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5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A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51CA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51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2</cp:revision>
  <dcterms:created xsi:type="dcterms:W3CDTF">2026-02-02T13:22:00Z</dcterms:created>
  <dcterms:modified xsi:type="dcterms:W3CDTF">2026-02-02T14:29:00Z</dcterms:modified>
</cp:coreProperties>
</file>