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4A4A4A"/>
          <w:sz w:val="48"/>
        </w:rPr>
        <w:t>Compte rendu de la réunion d'arbitrage budgétaire annuel</w:t>
      </w:r>
    </w:p>
    <w:p>
      <w:pPr>
        <w:jc w:val="center"/>
      </w:pPr>
      <w:r>
        <w:rPr>
          <w:i/>
          <w:color w:val="444444"/>
          <w:sz w:val="25"/>
        </w:rPr>
        <w:t>Séance du 18 juin 2026 — Construction du budget 2027 et arbitrages d'enveloppes</w:t>
      </w:r>
    </w:p>
    <w:p/>
    <w:tbl>
      <w:tblPr>
        <w:tblStyle w:val="TableGrid"/>
        <w:tblW w:type="auto" w:w="0"/>
        <w:tblLook w:firstColumn="1" w:firstRow="1" w:lastColumn="0" w:lastRow="0" w:noHBand="0" w:noVBand="1" w:val="04A0"/>
      </w:tblPr>
      <w:tblGrid>
        <w:gridCol w:w="4873"/>
        <w:gridCol w:w="4873"/>
      </w:tblGrid>
      <w:tr>
        <w:tc>
          <w:tcPr>
            <w:tcW w:type="dxa" w:w="4873"/>
            <w:shd w:val="clear" w:color="auto" w:fill="F2F4F7"/>
          </w:tcPr>
          <w:p>
            <w:r/>
            <w:r>
              <w:rPr>
                <w:b/>
              </w:rPr>
              <w:t>Référence</w:t>
            </w:r>
          </w:p>
        </w:tc>
        <w:tc>
          <w:tcPr>
            <w:tcW w:type="dxa" w:w="4873"/>
          </w:tcPr>
          <w:p>
            <w:r>
              <w:t>DAF-CR-2026-047</w:t>
            </w:r>
          </w:p>
        </w:tc>
      </w:tr>
      <w:tr>
        <w:tc>
          <w:tcPr>
            <w:tcW w:type="dxa" w:w="4873"/>
            <w:shd w:val="clear" w:color="auto" w:fill="F2F4F7"/>
          </w:tcPr>
          <w:p>
            <w:r/>
            <w:r>
              <w:rPr>
                <w:b/>
              </w:rPr>
              <w:t>Version</w:t>
            </w:r>
          </w:p>
        </w:tc>
        <w:tc>
          <w:tcPr>
            <w:tcW w:type="dxa" w:w="4873"/>
          </w:tcPr>
          <w:p>
            <w:r>
              <w:t>1.2</w:t>
            </w:r>
          </w:p>
        </w:tc>
      </w:tr>
      <w:tr>
        <w:tc>
          <w:tcPr>
            <w:tcW w:type="dxa" w:w="4873"/>
            <w:shd w:val="clear" w:color="auto" w:fill="F2F4F7"/>
          </w:tcPr>
          <w:p>
            <w:r/>
            <w:r>
              <w:rPr>
                <w:b/>
              </w:rPr>
              <w:t>Auteur</w:t>
            </w:r>
          </w:p>
        </w:tc>
        <w:tc>
          <w:tcPr>
            <w:tcW w:type="dxa" w:w="4873"/>
          </w:tcPr>
          <w:p>
            <w:r>
              <w:t>Contrôle de gestion — Aurélie Nguyen, responsable planification budgétaire</w:t>
            </w:r>
          </w:p>
        </w:tc>
      </w:tr>
      <w:tr>
        <w:tc>
          <w:tcPr>
            <w:tcW w:type="dxa" w:w="4873"/>
            <w:shd w:val="clear" w:color="auto" w:fill="F2F4F7"/>
          </w:tcPr>
          <w:p>
            <w:r/>
            <w:r>
              <w:rPr>
                <w:b/>
              </w:rPr>
              <w:t>Entité</w:t>
            </w:r>
          </w:p>
        </w:tc>
        <w:tc>
          <w:tcPr>
            <w:tcW w:type="dxa" w:w="4873"/>
          </w:tcPr>
          <w:p>
            <w:r>
              <w:t>Direction Administrative et Financière — Contrôle de Gestion</w:t>
            </w:r>
          </w:p>
        </w:tc>
      </w:tr>
      <w:tr>
        <w:tc>
          <w:tcPr>
            <w:tcW w:type="dxa" w:w="4873"/>
            <w:shd w:val="clear" w:color="auto" w:fill="F2F4F7"/>
          </w:tcPr>
          <w:p>
            <w:r/>
            <w:r>
              <w:rPr>
                <w:b/>
              </w:rPr>
              <w:t>Date</w:t>
            </w:r>
          </w:p>
        </w:tc>
        <w:tc>
          <w:tcPr>
            <w:tcW w:type="dxa" w:w="4873"/>
          </w:tcPr>
          <w:p>
            <w:r>
              <w:t>30/06/2026</w:t>
            </w:r>
          </w:p>
        </w:tc>
      </w:tr>
      <w:tr>
        <w:tc>
          <w:tcPr>
            <w:tcW w:type="dxa" w:w="4873"/>
            <w:shd w:val="clear" w:color="auto" w:fill="F2F4F7"/>
          </w:tcPr>
          <w:p>
            <w:r/>
            <w:r>
              <w:rPr>
                <w:b/>
              </w:rPr>
              <w:t>Diffusion</w:t>
            </w:r>
          </w:p>
        </w:tc>
        <w:tc>
          <w:tcPr>
            <w:tcW w:type="dxa" w:w="4873"/>
          </w:tcPr>
          <w:p>
            <w:r>
              <w:t>Confidentiel — Comité de direction et directions concernées</w:t>
            </w:r>
          </w:p>
        </w:tc>
      </w:tr>
    </w:tbl>
    <w:p/>
    <w:p>
      <w:r>
        <w:rPr>
          <w:b/>
        </w:rPr>
        <w:t>Résumé</w:t>
      </w:r>
    </w:p>
    <w:p>
      <w:r>
        <w:t>Compte rendu de la réunion d'arbitrage budgétaire tenue le 18 juin 2026 de 9 h 00 à 13 h 30 en salle du conseil, sous la présidence du directeur général. La séance avait pour objet d'examiner les demandes budgétaires 2027 des sept directions, de procéder aux arbitrages nécessaires pour ramener le total des demandes, initialement supérieur de 18,4 % au cadrage, dans l'enveloppe validée par le conseil d'administration, et d'arrêter les enveloppes définitives par direction. Cinq arbitrages structurants ont été rendus, portant sur l'hébergement et l'infrastructure d'intelligence artificielle, la masse salariale, le budget d'acquisition marketing, les investissements immobiliers et le traitement de la dette technique. Douze actions ont été assignées avec échéances.</w:t>
      </w:r>
    </w:p>
    <w:p>
      <w:r>
        <w:rPr>
          <w:b/>
        </w:rPr>
        <w:t xml:space="preserve">Mots-clés : </w:t>
      </w:r>
      <w:r>
        <w:rPr>
          <w:i/>
        </w:rPr>
        <w:t>budget · arbitrage · enveloppe · hébergement IA · masse salariale · investissement · réserve de gestion · comité de direction · cadrage</w:t>
      </w:r>
    </w:p>
    <w:p>
      <w:r>
        <w:br w:type="page"/>
      </w:r>
    </w:p>
    <w:p>
      <w:pPr>
        <w:pStyle w:val="Heading1"/>
      </w:pPr>
      <w:r>
        <w:rPr>
          <w:color w:val="4A4A4A"/>
        </w:rPr>
        <w:t>Sommaire</w:t>
      </w:r>
    </w:p>
    <w:p>
      <w:pPr>
        <w:pStyle w:val="ListNumber"/>
        <w:spacing w:after="60"/>
      </w:pPr>
      <w:r>
        <w:t>Ouverture de séance, participants et ordre du jour</w:t>
      </w:r>
    </w:p>
    <w:p>
      <w:pPr>
        <w:pStyle w:val="ListNumber"/>
        <w:spacing w:after="60"/>
      </w:pPr>
      <w:r>
        <w:t>Rappel du cadrage budgétaire et hypothèses retenues</w:t>
      </w:r>
    </w:p>
    <w:p>
      <w:pPr>
        <w:pStyle w:val="ListNumber"/>
        <w:spacing w:after="60"/>
      </w:pPr>
      <w:r>
        <w:t>Bilan de l'exécution budgétaire de l'exercice en cours</w:t>
      </w:r>
    </w:p>
    <w:p>
      <w:pPr>
        <w:pStyle w:val="ListNumber"/>
        <w:spacing w:after="60"/>
      </w:pPr>
      <w:r>
        <w:t>Arbitrage 1 — Hébergement et infrastructure d'intelligence artificielle</w:t>
      </w:r>
    </w:p>
    <w:p>
      <w:pPr>
        <w:pStyle w:val="ListNumber"/>
        <w:spacing w:after="60"/>
      </w:pPr>
      <w:r>
        <w:t>Arbitrage 2 — Masse salariale et plan de recrutement</w:t>
      </w:r>
    </w:p>
    <w:p>
      <w:pPr>
        <w:pStyle w:val="ListNumber"/>
        <w:spacing w:after="60"/>
      </w:pPr>
      <w:r>
        <w:t>Arbitrage 3 — Budget d'acquisition marketing</w:t>
      </w:r>
    </w:p>
    <w:p>
      <w:pPr>
        <w:pStyle w:val="ListNumber"/>
        <w:spacing w:after="60"/>
      </w:pPr>
      <w:r>
        <w:t>Arbitrage 4 — Investissements immobiliers et matériels</w:t>
      </w:r>
    </w:p>
    <w:p>
      <w:pPr>
        <w:pStyle w:val="ListNumber"/>
        <w:spacing w:after="60"/>
      </w:pPr>
      <w:r>
        <w:t>Arbitrage 5 — Traitement de la dette technique</w:t>
      </w:r>
    </w:p>
    <w:p>
      <w:pPr>
        <w:pStyle w:val="ListNumber"/>
        <w:spacing w:after="60"/>
      </w:pPr>
      <w:r>
        <w:t>Budget de formation et développement des compétences</w:t>
      </w:r>
    </w:p>
    <w:p>
      <w:pPr>
        <w:pStyle w:val="ListNumber"/>
        <w:spacing w:after="60"/>
      </w:pPr>
      <w:r>
        <w:t>Réserve de gestion et provision pour aléas</w:t>
      </w:r>
    </w:p>
    <w:p>
      <w:pPr>
        <w:pStyle w:val="ListNumber"/>
        <w:spacing w:after="60"/>
      </w:pPr>
      <w:r>
        <w:t>Enveloppes définitives validées par direction</w:t>
      </w:r>
    </w:p>
    <w:p>
      <w:pPr>
        <w:pStyle w:val="ListNumber"/>
        <w:spacing w:after="60"/>
      </w:pPr>
      <w:r>
        <w:t>Décisions, actions assignées et prochaines étapes</w:t>
      </w:r>
    </w:p>
    <w:p>
      <w:r>
        <w:br w:type="page"/>
      </w:r>
    </w:p>
    <w:p>
      <w:pPr>
        <w:pStyle w:val="Heading1"/>
      </w:pPr>
      <w:r>
        <w:rPr>
          <w:color w:val="4A4A4A"/>
        </w:rPr>
        <w:t>1. Ouverture de séance, participants et ordre du jour</w:t>
      </w:r>
    </w:p>
    <w:p>
      <w:r>
        <w:rPr>
          <w:i/>
          <w:color w:val="555555"/>
        </w:rPr>
        <w:t>Séance du jeudi 18 juin 2026, 9 h 00 - 13 h 30, salle du conseil, présidée par le directeur général.</w:t>
      </w:r>
    </w:p>
    <w:p>
      <w:r>
        <w:t>Le directeur général ouvre la séance à 9 h 05 et rappelle le cadre de l'exercice. Le conseil d'administration a validé lors de sa séance du 28 mai un cadrage budgétaire global pour 2027 fondé sur une hypothèse de croissance du chiffre d'affaires de 17 % et un objectif de marge d'EBITDA ajusté de 16,0 %, en progression de deux points par rapport à l'objectif 2026 révisé. Ce double objectif de croissance et d'amélioration de la rentabilité contraint mécaniquement la progression des charges à un rythme inférieur à celui de l'activité, ce qui constitue le cadre de tous les arbitrages du jour.</w:t>
      </w:r>
    </w:p>
    <w:p>
      <w:r>
        <w:t>Le président rappelle également la méthode retenue, qui diffère de celle des exercices précédents. Les directions ont construit leurs demandes selon une logique de reconstruction plutôt que de reconduction : chaque poste devait être justifié dans son intégralité et non seulement dans sa variation par rapport à l'exercice antérieur. Cette approche, plus exigeante en préparation, a permis d'identifier 2,4 MEUR de dépenses reconduites par habitude sans utilité démontrée, dont l'essentiel a été spontanément retiré des demandes avant la séance.</w:t>
      </w:r>
    </w:p>
    <w:p>
      <w:r>
        <w:t>La responsable de la planification budgétaire présente l'état des demandes. Le total consolidé des demandes des sept directions s'établit à 178,4 MEUR contre un cadrage de 150,7 MEUR, soit un écart de 27,7 MEUR représentant 18,4 % de dépassement. Cet écart, comparable à celui constaté les années précédentes, n'appelle pas de commentaire particulier sur la discipline des directions : il traduit le fonctionnement normal d'un processus où chaque direction exprime ses besoins avant arbitrage collectif. L'objet de la séance est précisément de résorber cet écart.</w:t>
      </w:r>
    </w:p>
    <w:p>
      <w:pPr>
        <w:pStyle w:val="Heading2"/>
      </w:pPr>
      <w:r>
        <w:t>Ordre du jour</w:t>
      </w:r>
    </w:p>
    <w:p>
      <w:pPr>
        <w:pStyle w:val="ListBullet"/>
        <w:spacing w:after="60"/>
      </w:pPr>
      <w:r>
        <w:t>Rappel du cadrage budgétaire et des hypothèses macroéconomiques retenues.</w:t>
      </w:r>
    </w:p>
    <w:p>
      <w:pPr>
        <w:pStyle w:val="ListBullet"/>
        <w:spacing w:after="60"/>
      </w:pPr>
      <w:r>
        <w:t>Bilan de l'exécution budgétaire de l'exercice en cours au 31 mai.</w:t>
      </w:r>
    </w:p>
    <w:p>
      <w:pPr>
        <w:pStyle w:val="ListBullet"/>
        <w:spacing w:after="60"/>
      </w:pPr>
      <w:r>
        <w:t>Arbitrage sur l'hébergement et l'infrastructure d'intelligence artificielle.</w:t>
      </w:r>
    </w:p>
    <w:p>
      <w:pPr>
        <w:pStyle w:val="ListBullet"/>
        <w:spacing w:after="60"/>
      </w:pPr>
      <w:r>
        <w:t>Arbitrage sur la masse salariale et le plan de recrutement 2027.</w:t>
      </w:r>
    </w:p>
    <w:p>
      <w:pPr>
        <w:pStyle w:val="ListBullet"/>
        <w:spacing w:after="60"/>
      </w:pPr>
      <w:r>
        <w:t>Arbitrage sur le budget d'acquisition marketing.</w:t>
      </w:r>
    </w:p>
    <w:p>
      <w:pPr>
        <w:pStyle w:val="ListBullet"/>
        <w:spacing w:after="60"/>
      </w:pPr>
      <w:r>
        <w:t>Arbitrage sur les investissements immobiliers et matériels.</w:t>
      </w:r>
    </w:p>
    <w:p>
      <w:pPr>
        <w:pStyle w:val="ListBullet"/>
        <w:spacing w:after="60"/>
      </w:pPr>
      <w:r>
        <w:t>Arbitrage sur le traitement de la dette technique.</w:t>
      </w:r>
    </w:p>
    <w:p>
      <w:pPr>
        <w:pStyle w:val="ListBullet"/>
        <w:spacing w:after="60"/>
      </w:pPr>
      <w:r>
        <w:t>Budget de formation et de développement des compétences.</w:t>
      </w:r>
    </w:p>
    <w:p>
      <w:pPr>
        <w:pStyle w:val="ListBullet"/>
        <w:spacing w:after="60"/>
      </w:pPr>
      <w:r>
        <w:t>Constitution de la réserve de gestion et provision pour aléas.</w:t>
      </w:r>
    </w:p>
    <w:p>
      <w:pPr>
        <w:pStyle w:val="ListBullet"/>
        <w:spacing w:after="60"/>
      </w:pPr>
      <w:r>
        <w:t>Validation des enveloppes définitives et assignation des actions.</w:t>
      </w:r>
    </w:p>
    <w:p>
      <w:pPr>
        <w:pStyle w:val="Heading2"/>
      </w:pPr>
      <w:r>
        <w:t>Participants à la séance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4A4A4A"/>
          </w:tcPr>
          <w:p>
            <w:r/>
            <w:r>
              <w:rPr>
                <w:b/>
                <w:color w:val="FFFFFF"/>
                <w:sz w:val="18"/>
              </w:rPr>
              <w:t>Nom</w:t>
            </w:r>
          </w:p>
        </w:tc>
        <w:tc>
          <w:tcPr>
            <w:tcW w:type="dxa" w:w="2436"/>
            <w:shd w:val="clear" w:color="auto" w:fill="4A4A4A"/>
          </w:tcPr>
          <w:p>
            <w:r/>
            <w:r>
              <w:rPr>
                <w:b/>
                <w:color w:val="FFFFFF"/>
                <w:sz w:val="18"/>
              </w:rPr>
              <w:t>Fonction</w:t>
            </w:r>
          </w:p>
        </w:tc>
        <w:tc>
          <w:tcPr>
            <w:tcW w:type="dxa" w:w="2436"/>
            <w:shd w:val="clear" w:color="auto" w:fill="4A4A4A"/>
          </w:tcPr>
          <w:p>
            <w:r/>
            <w:r>
              <w:rPr>
                <w:b/>
                <w:color w:val="FFFFFF"/>
                <w:sz w:val="18"/>
              </w:rPr>
              <w:t>Présence</w:t>
            </w:r>
          </w:p>
        </w:tc>
        <w:tc>
          <w:tcPr>
            <w:tcW w:type="dxa" w:w="2436"/>
            <w:shd w:val="clear" w:color="auto" w:fill="4A4A4A"/>
          </w:tcPr>
          <w:p>
            <w:r/>
            <w:r>
              <w:rPr>
                <w:b/>
                <w:color w:val="FFFFFF"/>
                <w:sz w:val="18"/>
              </w:rPr>
              <w:t>Observations</w:t>
            </w:r>
          </w:p>
        </w:tc>
      </w:tr>
      <w:tr>
        <w:tc>
          <w:tcPr>
            <w:tcW w:type="dxa" w:w="2436"/>
          </w:tcPr>
          <w:p>
            <w:r/>
            <w:r>
              <w:rPr>
                <w:sz w:val="18"/>
              </w:rPr>
              <w:t>Hélène Vasseur</w:t>
            </w:r>
          </w:p>
        </w:tc>
        <w:tc>
          <w:tcPr>
            <w:tcW w:type="dxa" w:w="2436"/>
          </w:tcPr>
          <w:p>
            <w:r/>
            <w:r>
              <w:rPr>
                <w:sz w:val="18"/>
              </w:rPr>
              <w:t>Directrice générale</w:t>
            </w:r>
          </w:p>
        </w:tc>
        <w:tc>
          <w:tcPr>
            <w:tcW w:type="dxa" w:w="2436"/>
          </w:tcPr>
          <w:p>
            <w:r/>
            <w:r>
              <w:rPr>
                <w:sz w:val="18"/>
              </w:rPr>
              <w:t>Présente</w:t>
            </w:r>
          </w:p>
        </w:tc>
        <w:tc>
          <w:tcPr>
            <w:tcW w:type="dxa" w:w="2436"/>
          </w:tcPr>
          <w:p>
            <w:r/>
            <w:r>
              <w:rPr>
                <w:sz w:val="18"/>
              </w:rPr>
              <w:t>Présidence de séance</w:t>
            </w:r>
          </w:p>
        </w:tc>
      </w:tr>
      <w:tr>
        <w:tc>
          <w:tcPr>
            <w:tcW w:type="dxa" w:w="2436"/>
          </w:tcPr>
          <w:p>
            <w:r/>
            <w:r>
              <w:rPr>
                <w:sz w:val="18"/>
              </w:rPr>
              <w:t>Thomas Levasseur</w:t>
            </w:r>
          </w:p>
        </w:tc>
        <w:tc>
          <w:tcPr>
            <w:tcW w:type="dxa" w:w="2436"/>
          </w:tcPr>
          <w:p>
            <w:r/>
            <w:r>
              <w:rPr>
                <w:sz w:val="18"/>
              </w:rPr>
              <w:t>Directeur administratif et financier</w:t>
            </w:r>
          </w:p>
        </w:tc>
        <w:tc>
          <w:tcPr>
            <w:tcW w:type="dxa" w:w="2436"/>
          </w:tcPr>
          <w:p>
            <w:r/>
            <w:r>
              <w:rPr>
                <w:sz w:val="18"/>
              </w:rPr>
              <w:t>Présent</w:t>
            </w:r>
          </w:p>
        </w:tc>
        <w:tc>
          <w:tcPr>
            <w:tcW w:type="dxa" w:w="2436"/>
          </w:tcPr>
          <w:p>
            <w:r/>
            <w:r>
              <w:rPr>
                <w:sz w:val="18"/>
              </w:rPr>
              <w:t>Rapporteur</w:t>
            </w:r>
          </w:p>
        </w:tc>
      </w:tr>
      <w:tr>
        <w:tc>
          <w:tcPr>
            <w:tcW w:type="dxa" w:w="2436"/>
          </w:tcPr>
          <w:p>
            <w:r/>
            <w:r>
              <w:rPr>
                <w:sz w:val="18"/>
              </w:rPr>
              <w:t>Aurélie Nguyen</w:t>
            </w:r>
          </w:p>
        </w:tc>
        <w:tc>
          <w:tcPr>
            <w:tcW w:type="dxa" w:w="2436"/>
          </w:tcPr>
          <w:p>
            <w:r/>
            <w:r>
              <w:rPr>
                <w:sz w:val="18"/>
              </w:rPr>
              <w:t>Responsable planification budgétaire</w:t>
            </w:r>
          </w:p>
        </w:tc>
        <w:tc>
          <w:tcPr>
            <w:tcW w:type="dxa" w:w="2436"/>
          </w:tcPr>
          <w:p>
            <w:r/>
            <w:r>
              <w:rPr>
                <w:sz w:val="18"/>
              </w:rPr>
              <w:t>Présente</w:t>
            </w:r>
          </w:p>
        </w:tc>
        <w:tc>
          <w:tcPr>
            <w:tcW w:type="dxa" w:w="2436"/>
          </w:tcPr>
          <w:p>
            <w:r/>
            <w:r>
              <w:rPr>
                <w:sz w:val="18"/>
              </w:rPr>
              <w:t>Secrétaire de séance</w:t>
            </w:r>
          </w:p>
        </w:tc>
      </w:tr>
      <w:tr>
        <w:tc>
          <w:tcPr>
            <w:tcW w:type="dxa" w:w="2436"/>
          </w:tcPr>
          <w:p>
            <w:r/>
            <w:r>
              <w:rPr>
                <w:sz w:val="18"/>
              </w:rPr>
              <w:t>Julien Marchetti</w:t>
            </w:r>
          </w:p>
        </w:tc>
        <w:tc>
          <w:tcPr>
            <w:tcW w:type="dxa" w:w="2436"/>
          </w:tcPr>
          <w:p>
            <w:r/>
            <w:r>
              <w:rPr>
                <w:sz w:val="18"/>
              </w:rPr>
              <w:t>Directeur technique</w:t>
            </w:r>
          </w:p>
        </w:tc>
        <w:tc>
          <w:tcPr>
            <w:tcW w:type="dxa" w:w="2436"/>
          </w:tcPr>
          <w:p>
            <w:r/>
            <w:r>
              <w:rPr>
                <w:sz w:val="18"/>
              </w:rPr>
              <w:t>Présent</w:t>
            </w:r>
          </w:p>
        </w:tc>
        <w:tc>
          <w:tcPr>
            <w:tcW w:type="dxa" w:w="2436"/>
          </w:tcPr>
          <w:p>
            <w:r/>
            <w:r>
              <w:rPr>
                <w:sz w:val="18"/>
              </w:rPr>
              <w:t>—</w:t>
            </w:r>
          </w:p>
        </w:tc>
      </w:tr>
      <w:tr>
        <w:tc>
          <w:tcPr>
            <w:tcW w:type="dxa" w:w="2436"/>
          </w:tcPr>
          <w:p>
            <w:r/>
            <w:r>
              <w:rPr>
                <w:sz w:val="18"/>
              </w:rPr>
              <w:t>Sofia Delacroix</w:t>
            </w:r>
          </w:p>
        </w:tc>
        <w:tc>
          <w:tcPr>
            <w:tcW w:type="dxa" w:w="2436"/>
          </w:tcPr>
          <w:p>
            <w:r/>
            <w:r>
              <w:rPr>
                <w:sz w:val="18"/>
              </w:rPr>
              <w:t>Directrice commerciale</w:t>
            </w:r>
          </w:p>
        </w:tc>
        <w:tc>
          <w:tcPr>
            <w:tcW w:type="dxa" w:w="2436"/>
          </w:tcPr>
          <w:p>
            <w:r/>
            <w:r>
              <w:rPr>
                <w:sz w:val="18"/>
              </w:rPr>
              <w:t>Présente</w:t>
            </w:r>
          </w:p>
        </w:tc>
        <w:tc>
          <w:tcPr>
            <w:tcW w:type="dxa" w:w="2436"/>
          </w:tcPr>
          <w:p>
            <w:r/>
            <w:r>
              <w:rPr>
                <w:sz w:val="18"/>
              </w:rPr>
              <w:t>—</w:t>
            </w:r>
          </w:p>
        </w:tc>
      </w:tr>
      <w:tr>
        <w:tc>
          <w:tcPr>
            <w:tcW w:type="dxa" w:w="2436"/>
          </w:tcPr>
          <w:p>
            <w:r/>
            <w:r>
              <w:rPr>
                <w:sz w:val="18"/>
              </w:rPr>
              <w:t>Farid Benali</w:t>
            </w:r>
          </w:p>
        </w:tc>
        <w:tc>
          <w:tcPr>
            <w:tcW w:type="dxa" w:w="2436"/>
          </w:tcPr>
          <w:p>
            <w:r/>
            <w:r>
              <w:rPr>
                <w:sz w:val="18"/>
              </w:rPr>
              <w:t>Directeur des opérations</w:t>
            </w:r>
          </w:p>
        </w:tc>
        <w:tc>
          <w:tcPr>
            <w:tcW w:type="dxa" w:w="2436"/>
          </w:tcPr>
          <w:p>
            <w:r/>
            <w:r>
              <w:rPr>
                <w:sz w:val="18"/>
              </w:rPr>
              <w:t>Présent</w:t>
            </w:r>
          </w:p>
        </w:tc>
        <w:tc>
          <w:tcPr>
            <w:tcW w:type="dxa" w:w="2436"/>
          </w:tcPr>
          <w:p>
            <w:r/>
            <w:r>
              <w:rPr>
                <w:sz w:val="18"/>
              </w:rPr>
              <w:t>—</w:t>
            </w:r>
          </w:p>
        </w:tc>
      </w:tr>
      <w:tr>
        <w:tc>
          <w:tcPr>
            <w:tcW w:type="dxa" w:w="2436"/>
          </w:tcPr>
          <w:p>
            <w:r/>
            <w:r>
              <w:rPr>
                <w:sz w:val="18"/>
              </w:rPr>
              <w:t>Élodie Marchand</w:t>
            </w:r>
          </w:p>
        </w:tc>
        <w:tc>
          <w:tcPr>
            <w:tcW w:type="dxa" w:w="2436"/>
          </w:tcPr>
          <w:p>
            <w:r/>
            <w:r>
              <w:rPr>
                <w:sz w:val="18"/>
              </w:rPr>
              <w:t>Directrice des ressources humaines</w:t>
            </w:r>
          </w:p>
        </w:tc>
        <w:tc>
          <w:tcPr>
            <w:tcW w:type="dxa" w:w="2436"/>
          </w:tcPr>
          <w:p>
            <w:r/>
            <w:r>
              <w:rPr>
                <w:sz w:val="18"/>
              </w:rPr>
              <w:t>Présente</w:t>
            </w:r>
          </w:p>
        </w:tc>
        <w:tc>
          <w:tcPr>
            <w:tcW w:type="dxa" w:w="2436"/>
          </w:tcPr>
          <w:p>
            <w:r/>
            <w:r>
              <w:rPr>
                <w:sz w:val="18"/>
              </w:rPr>
              <w:t>—</w:t>
            </w:r>
          </w:p>
        </w:tc>
      </w:tr>
      <w:tr>
        <w:tc>
          <w:tcPr>
            <w:tcW w:type="dxa" w:w="2436"/>
          </w:tcPr>
          <w:p>
            <w:r/>
            <w:r>
              <w:rPr>
                <w:sz w:val="18"/>
              </w:rPr>
              <w:t>Nadia Cherif</w:t>
            </w:r>
          </w:p>
        </w:tc>
        <w:tc>
          <w:tcPr>
            <w:tcW w:type="dxa" w:w="2436"/>
          </w:tcPr>
          <w:p>
            <w:r/>
            <w:r>
              <w:rPr>
                <w:sz w:val="18"/>
              </w:rPr>
              <w:t>Responsable sécurité des SI</w:t>
            </w:r>
          </w:p>
        </w:tc>
        <w:tc>
          <w:tcPr>
            <w:tcW w:type="dxa" w:w="2436"/>
          </w:tcPr>
          <w:p>
            <w:r/>
            <w:r>
              <w:rPr>
                <w:sz w:val="18"/>
              </w:rPr>
              <w:t>Présente</w:t>
            </w:r>
          </w:p>
        </w:tc>
        <w:tc>
          <w:tcPr>
            <w:tcW w:type="dxa" w:w="2436"/>
          </w:tcPr>
          <w:p>
            <w:r/>
            <w:r>
              <w:rPr>
                <w:sz w:val="18"/>
              </w:rPr>
              <w:t>Points 4 et 8 uniquement</w:t>
            </w:r>
          </w:p>
        </w:tc>
      </w:tr>
      <w:tr>
        <w:tc>
          <w:tcPr>
            <w:tcW w:type="dxa" w:w="2436"/>
          </w:tcPr>
          <w:p>
            <w:r/>
            <w:r>
              <w:rPr>
                <w:sz w:val="18"/>
              </w:rPr>
              <w:t>Marc Aubert</w:t>
            </w:r>
          </w:p>
        </w:tc>
        <w:tc>
          <w:tcPr>
            <w:tcW w:type="dxa" w:w="2436"/>
          </w:tcPr>
          <w:p>
            <w:r/>
            <w:r>
              <w:rPr>
                <w:sz w:val="18"/>
              </w:rPr>
              <w:t>Directeur marketing</w:t>
            </w:r>
          </w:p>
        </w:tc>
        <w:tc>
          <w:tcPr>
            <w:tcW w:type="dxa" w:w="2436"/>
          </w:tcPr>
          <w:p>
            <w:r/>
            <w:r>
              <w:rPr>
                <w:sz w:val="18"/>
              </w:rPr>
              <w:t>Excusé</w:t>
            </w:r>
          </w:p>
        </w:tc>
        <w:tc>
          <w:tcPr>
            <w:tcW w:type="dxa" w:w="2436"/>
          </w:tcPr>
          <w:p>
            <w:r/>
            <w:r>
              <w:rPr>
                <w:sz w:val="18"/>
              </w:rPr>
              <w:t>Représenté par Sofia Delacroix</w:t>
            </w:r>
          </w:p>
        </w:tc>
      </w:tr>
    </w:tbl>
    <w:p/>
    <w:p>
      <w:r>
        <w:br w:type="page"/>
      </w:r>
    </w:p>
    <w:p>
      <w:pPr>
        <w:pStyle w:val="Heading1"/>
      </w:pPr>
      <w:r>
        <w:rPr>
          <w:color w:val="4A4A4A"/>
        </w:rPr>
        <w:t>2. Rappel du cadrage budgétaire et hypothèses retenues</w:t>
      </w:r>
    </w:p>
    <w:p>
      <w:r>
        <w:rPr>
          <w:i/>
          <w:color w:val="555555"/>
        </w:rPr>
        <w:t>Les hypothèses macroéconomiques et commerciales conditionnent l'ensemble de la construction budgétaire.</w:t>
      </w:r>
    </w:p>
    <w:p>
      <w:r>
        <w:t>Le directeur administratif et financier présente les hypothèses validées par le conseil d'administration. L'hypothèse de croissance du chiffre d'affaires est fixée à 17 %, portant l'objectif 2027 à 221 MEUR sur la base d'un atterrissage 2026 de 188 MEUR. Cette hypothèse est qualifiée de prudente au regard de la croissance de 18,4 % constatée au troisième trimestre 2026, prudence justifiée par l'effet de base croissant et par une incertitude sur le rythme de renouvellement de deux contrats significatifs arrivant à échéance au premier semestre 2027.</w:t>
      </w:r>
    </w:p>
    <w:p>
      <w:r>
        <w:t>L'hypothèse d'inflation salariale est fixée à 2,8 %, correspondant à une enveloppe globale d'augmentation incluant les mesures générales, les mesures individuelles et les effets de promotion. La directrice des ressources humaines observe que cette hypothèse est inférieure à la tension constatée sur les métiers techniques, où les enquêtes de rémunération font apparaître une progression de marché de l'ordre de 4,5 %. Le directeur général confirme le cadre global mais accepte l'application différenciée par filière, dans le respect de l'enveloppe totale, ce qui suppose une modération sur les filières moins tendues.</w:t>
      </w:r>
    </w:p>
    <w:p>
      <w:r>
        <w:t>L'hypothèse d'évolution des coûts d'infrastructure retient une stabilité du coût unitaire par client, après la baisse de 21 % obtenue en 2026. La directrice générale souligne que cette hypothèse doit être considérée comme un objectif et non comme une prévision passive : les leviers les plus faciles ayant été actionnés, le maintien du coût unitaire dans un contexte de croissance de 17 % du volume constitue en soi une performance qui suppose la poursuite active du travail d'optimisation.</w:t>
      </w:r>
    </w:p>
    <w:p>
      <w:pPr>
        <w:pStyle w:val="Heading2"/>
      </w:pPr>
      <w:r>
        <w:t>Hypothèses de cadrage 2027</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4A4A4A"/>
          </w:tcPr>
          <w:p>
            <w:r/>
            <w:r>
              <w:rPr>
                <w:b/>
                <w:color w:val="FFFFFF"/>
                <w:sz w:val="18"/>
              </w:rPr>
              <w:t>Hypothèse</w:t>
            </w:r>
          </w:p>
        </w:tc>
        <w:tc>
          <w:tcPr>
            <w:tcW w:type="dxa" w:w="2436"/>
            <w:shd w:val="clear" w:color="auto" w:fill="4A4A4A"/>
          </w:tcPr>
          <w:p>
            <w:r/>
            <w:r>
              <w:rPr>
                <w:b/>
                <w:color w:val="FFFFFF"/>
                <w:sz w:val="18"/>
              </w:rPr>
              <w:t>Valeur retenue</w:t>
            </w:r>
          </w:p>
        </w:tc>
        <w:tc>
          <w:tcPr>
            <w:tcW w:type="dxa" w:w="2436"/>
            <w:shd w:val="clear" w:color="auto" w:fill="4A4A4A"/>
          </w:tcPr>
          <w:p>
            <w:r/>
            <w:r>
              <w:rPr>
                <w:b/>
                <w:color w:val="FFFFFF"/>
                <w:sz w:val="18"/>
              </w:rPr>
              <w:t>Référence 2026</w:t>
            </w:r>
          </w:p>
        </w:tc>
        <w:tc>
          <w:tcPr>
            <w:tcW w:type="dxa" w:w="2436"/>
            <w:shd w:val="clear" w:color="auto" w:fill="4A4A4A"/>
          </w:tcPr>
          <w:p>
            <w:r/>
            <w:r>
              <w:rPr>
                <w:b/>
                <w:color w:val="FFFFFF"/>
                <w:sz w:val="18"/>
              </w:rPr>
              <w:t>Commentaire</w:t>
            </w:r>
          </w:p>
        </w:tc>
      </w:tr>
      <w:tr>
        <w:tc>
          <w:tcPr>
            <w:tcW w:type="dxa" w:w="2436"/>
          </w:tcPr>
          <w:p>
            <w:r/>
            <w:r>
              <w:rPr>
                <w:sz w:val="18"/>
              </w:rPr>
              <w:t>Croissance du chiffre d'affaires</w:t>
            </w:r>
          </w:p>
        </w:tc>
        <w:tc>
          <w:tcPr>
            <w:tcW w:type="dxa" w:w="2436"/>
          </w:tcPr>
          <w:p>
            <w:r/>
            <w:r>
              <w:rPr>
                <w:sz w:val="18"/>
              </w:rPr>
              <w:t>+17,0 %</w:t>
            </w:r>
          </w:p>
        </w:tc>
        <w:tc>
          <w:tcPr>
            <w:tcW w:type="dxa" w:w="2436"/>
          </w:tcPr>
          <w:p>
            <w:r/>
            <w:r>
              <w:rPr>
                <w:sz w:val="18"/>
              </w:rPr>
              <w:t>+18,5 % estimé</w:t>
            </w:r>
          </w:p>
        </w:tc>
        <w:tc>
          <w:tcPr>
            <w:tcW w:type="dxa" w:w="2436"/>
          </w:tcPr>
          <w:p>
            <w:r/>
            <w:r>
              <w:rPr>
                <w:sz w:val="18"/>
              </w:rPr>
              <w:t>Prudence sur effet de base</w:t>
            </w:r>
          </w:p>
        </w:tc>
      </w:tr>
      <w:tr>
        <w:tc>
          <w:tcPr>
            <w:tcW w:type="dxa" w:w="2436"/>
          </w:tcPr>
          <w:p>
            <w:r/>
            <w:r>
              <w:rPr>
                <w:sz w:val="18"/>
              </w:rPr>
              <w:t>Chiffre d'affaires cible</w:t>
            </w:r>
          </w:p>
        </w:tc>
        <w:tc>
          <w:tcPr>
            <w:tcW w:type="dxa" w:w="2436"/>
          </w:tcPr>
          <w:p>
            <w:r/>
            <w:r>
              <w:rPr>
                <w:sz w:val="18"/>
              </w:rPr>
              <w:t>221 MEUR</w:t>
            </w:r>
          </w:p>
        </w:tc>
        <w:tc>
          <w:tcPr>
            <w:tcW w:type="dxa" w:w="2436"/>
          </w:tcPr>
          <w:p>
            <w:r/>
            <w:r>
              <w:rPr>
                <w:sz w:val="18"/>
              </w:rPr>
              <w:t>188 MEUR</w:t>
            </w:r>
          </w:p>
        </w:tc>
        <w:tc>
          <w:tcPr>
            <w:tcW w:type="dxa" w:w="2436"/>
          </w:tcPr>
          <w:p>
            <w:r/>
            <w:r>
              <w:rPr>
                <w:sz w:val="18"/>
              </w:rPr>
              <w:t>—</w:t>
            </w:r>
          </w:p>
        </w:tc>
      </w:tr>
      <w:tr>
        <w:tc>
          <w:tcPr>
            <w:tcW w:type="dxa" w:w="2436"/>
          </w:tcPr>
          <w:p>
            <w:r/>
            <w:r>
              <w:rPr>
                <w:sz w:val="18"/>
              </w:rPr>
              <w:t>Marge d'EBITDA ajusté</w:t>
            </w:r>
          </w:p>
        </w:tc>
        <w:tc>
          <w:tcPr>
            <w:tcW w:type="dxa" w:w="2436"/>
          </w:tcPr>
          <w:p>
            <w:r/>
            <w:r>
              <w:rPr>
                <w:sz w:val="18"/>
              </w:rPr>
              <w:t>16,0 %</w:t>
            </w:r>
          </w:p>
        </w:tc>
        <w:tc>
          <w:tcPr>
            <w:tcW w:type="dxa" w:w="2436"/>
          </w:tcPr>
          <w:p>
            <w:r/>
            <w:r>
              <w:rPr>
                <w:sz w:val="18"/>
              </w:rPr>
              <w:t>13,8 % estimé</w:t>
            </w:r>
          </w:p>
        </w:tc>
        <w:tc>
          <w:tcPr>
            <w:tcW w:type="dxa" w:w="2436"/>
          </w:tcPr>
          <w:p>
            <w:r/>
            <w:r>
              <w:rPr>
                <w:sz w:val="18"/>
              </w:rPr>
              <w:t>+220 points de base</w:t>
            </w:r>
          </w:p>
        </w:tc>
      </w:tr>
      <w:tr>
        <w:tc>
          <w:tcPr>
            <w:tcW w:type="dxa" w:w="2436"/>
          </w:tcPr>
          <w:p>
            <w:r/>
            <w:r>
              <w:rPr>
                <w:sz w:val="18"/>
              </w:rPr>
              <w:t>Enveloppe globale de charges</w:t>
            </w:r>
          </w:p>
        </w:tc>
        <w:tc>
          <w:tcPr>
            <w:tcW w:type="dxa" w:w="2436"/>
          </w:tcPr>
          <w:p>
            <w:r/>
            <w:r>
              <w:rPr>
                <w:sz w:val="18"/>
              </w:rPr>
              <w:t>150,7 MEUR</w:t>
            </w:r>
          </w:p>
        </w:tc>
        <w:tc>
          <w:tcPr>
            <w:tcW w:type="dxa" w:w="2436"/>
          </w:tcPr>
          <w:p>
            <w:r/>
            <w:r>
              <w:rPr>
                <w:sz w:val="18"/>
              </w:rPr>
              <w:t>133,4 MEUR</w:t>
            </w:r>
          </w:p>
        </w:tc>
        <w:tc>
          <w:tcPr>
            <w:tcW w:type="dxa" w:w="2436"/>
          </w:tcPr>
          <w:p>
            <w:r/>
            <w:r>
              <w:rPr>
                <w:sz w:val="18"/>
              </w:rPr>
              <w:t>+13,0 %</w:t>
            </w:r>
          </w:p>
        </w:tc>
      </w:tr>
      <w:tr>
        <w:tc>
          <w:tcPr>
            <w:tcW w:type="dxa" w:w="2436"/>
          </w:tcPr>
          <w:p>
            <w:r/>
            <w:r>
              <w:rPr>
                <w:sz w:val="18"/>
              </w:rPr>
              <w:t>Inflation salariale</w:t>
            </w:r>
          </w:p>
        </w:tc>
        <w:tc>
          <w:tcPr>
            <w:tcW w:type="dxa" w:w="2436"/>
          </w:tcPr>
          <w:p>
            <w:r/>
            <w:r>
              <w:rPr>
                <w:sz w:val="18"/>
              </w:rPr>
              <w:t>+2,8 %</w:t>
            </w:r>
          </w:p>
        </w:tc>
        <w:tc>
          <w:tcPr>
            <w:tcW w:type="dxa" w:w="2436"/>
          </w:tcPr>
          <w:p>
            <w:r/>
            <w:r>
              <w:rPr>
                <w:sz w:val="18"/>
              </w:rPr>
              <w:t>+3,1 %</w:t>
            </w:r>
          </w:p>
        </w:tc>
        <w:tc>
          <w:tcPr>
            <w:tcW w:type="dxa" w:w="2436"/>
          </w:tcPr>
          <w:p>
            <w:r/>
            <w:r>
              <w:rPr>
                <w:sz w:val="18"/>
              </w:rPr>
              <w:t>Application différenciée par filière</w:t>
            </w:r>
          </w:p>
        </w:tc>
      </w:tr>
      <w:tr>
        <w:tc>
          <w:tcPr>
            <w:tcW w:type="dxa" w:w="2436"/>
          </w:tcPr>
          <w:p>
            <w:r/>
            <w:r>
              <w:rPr>
                <w:sz w:val="18"/>
              </w:rPr>
              <w:t>Effectif moyen</w:t>
            </w:r>
          </w:p>
        </w:tc>
        <w:tc>
          <w:tcPr>
            <w:tcW w:type="dxa" w:w="2436"/>
          </w:tcPr>
          <w:p>
            <w:r/>
            <w:r>
              <w:rPr>
                <w:sz w:val="18"/>
              </w:rPr>
              <w:t>692 ETP</w:t>
            </w:r>
          </w:p>
        </w:tc>
        <w:tc>
          <w:tcPr>
            <w:tcW w:type="dxa" w:w="2436"/>
          </w:tcPr>
          <w:p>
            <w:r/>
            <w:r>
              <w:rPr>
                <w:sz w:val="18"/>
              </w:rPr>
              <w:t>634 ETP</w:t>
            </w:r>
          </w:p>
        </w:tc>
        <w:tc>
          <w:tcPr>
            <w:tcW w:type="dxa" w:w="2436"/>
          </w:tcPr>
          <w:p>
            <w:r/>
            <w:r>
              <w:rPr>
                <w:sz w:val="18"/>
              </w:rPr>
              <w:t>+9,1 %</w:t>
            </w:r>
          </w:p>
        </w:tc>
      </w:tr>
      <w:tr>
        <w:tc>
          <w:tcPr>
            <w:tcW w:type="dxa" w:w="2436"/>
          </w:tcPr>
          <w:p>
            <w:r/>
            <w:r>
              <w:rPr>
                <w:sz w:val="18"/>
              </w:rPr>
              <w:t>Coût d'infrastructure par client</w:t>
            </w:r>
          </w:p>
        </w:tc>
        <w:tc>
          <w:tcPr>
            <w:tcW w:type="dxa" w:w="2436"/>
          </w:tcPr>
          <w:p>
            <w:r/>
            <w:r>
              <w:rPr>
                <w:sz w:val="18"/>
              </w:rPr>
              <w:t>Stable</w:t>
            </w:r>
          </w:p>
        </w:tc>
        <w:tc>
          <w:tcPr>
            <w:tcW w:type="dxa" w:w="2436"/>
          </w:tcPr>
          <w:p>
            <w:r/>
            <w:r>
              <w:rPr>
                <w:sz w:val="18"/>
              </w:rPr>
              <w:t>-21,0 %</w:t>
            </w:r>
          </w:p>
        </w:tc>
        <w:tc>
          <w:tcPr>
            <w:tcW w:type="dxa" w:w="2436"/>
          </w:tcPr>
          <w:p>
            <w:r/>
            <w:r>
              <w:rPr>
                <w:sz w:val="18"/>
              </w:rPr>
              <w:t>Objectif et non prévision</w:t>
            </w:r>
          </w:p>
        </w:tc>
      </w:tr>
      <w:tr>
        <w:tc>
          <w:tcPr>
            <w:tcW w:type="dxa" w:w="2436"/>
          </w:tcPr>
          <w:p>
            <w:r/>
            <w:r>
              <w:rPr>
                <w:sz w:val="18"/>
              </w:rPr>
              <w:t>Taux de change euro-dollar moyen</w:t>
            </w:r>
          </w:p>
        </w:tc>
        <w:tc>
          <w:tcPr>
            <w:tcW w:type="dxa" w:w="2436"/>
          </w:tcPr>
          <w:p>
            <w:r/>
            <w:r>
              <w:rPr>
                <w:sz w:val="18"/>
              </w:rPr>
              <w:t>1,09</w:t>
            </w:r>
          </w:p>
        </w:tc>
        <w:tc>
          <w:tcPr>
            <w:tcW w:type="dxa" w:w="2436"/>
          </w:tcPr>
          <w:p>
            <w:r/>
            <w:r>
              <w:rPr>
                <w:sz w:val="18"/>
              </w:rPr>
              <w:t>1,08</w:t>
            </w:r>
          </w:p>
        </w:tc>
        <w:tc>
          <w:tcPr>
            <w:tcW w:type="dxa" w:w="2436"/>
          </w:tcPr>
          <w:p>
            <w:r/>
            <w:r>
              <w:rPr>
                <w:sz w:val="18"/>
              </w:rPr>
              <w:t>Couverture à 70 %</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L'écart entre la croissance des charges autorisée (+13,0 %) et celle du chiffre d'affaires (+17,0 %) constitue le levier opérationnel qui produit l'amélioration de 220 points de base de la marge.</w:t>
            </w:r>
          </w:p>
        </w:tc>
      </w:tr>
    </w:tbl>
    <w:p/>
    <w:p>
      <w:r>
        <w:br w:type="page"/>
      </w:r>
    </w:p>
    <w:p>
      <w:pPr>
        <w:pStyle w:val="Heading1"/>
      </w:pPr>
      <w:r>
        <w:rPr>
          <w:color w:val="4A4A4A"/>
        </w:rPr>
        <w:t>3. Bilan de l'exécution budgétaire de l'exercice en cours</w:t>
      </w:r>
    </w:p>
    <w:p>
      <w:r>
        <w:rPr>
          <w:i/>
          <w:color w:val="555555"/>
        </w:rPr>
        <w:t>Au 31 mai, l'exécution est globalement conforme, avec deux écarts significatifs nécessitant une explication.</w:t>
      </w:r>
    </w:p>
    <w:p>
      <w:r>
        <w:t>La responsable de la planification présente l'exécution au 31 mai, soit cinq mois sur douze représentant 41,7 % de l'exercice. Le taux de consommation global s'établit à 40,2 %, légèrement inférieur au prorata temporis, ce qui traduit une exécution maîtrisée. Cette moyenne recouvre cependant des situations hétérogènes : trois directions se situent en deçà de 38 % de consommation, ce qui interroge sur des projets non engagés, et une direction dépasse 48 %, ce qui appelle une explication et une projection d'atterrissage.</w:t>
      </w:r>
    </w:p>
    <w:p>
      <w:r>
        <w:t>La direction technique présente un taux de consommation de 48,3 %, principalement imputable à l'accélération du programme d'intelligence artificielle décidée en février hors budget initial, financée par un prélèvement sur la réserve de gestion à hauteur de 1,8 MEUR. Le directeur technique confirme que la projection d'atterrissage annuel reste conforme à l'enveloppe révisée, l'accélération portant sur le calendrier plus que sur le montant total. La directrice générale demande que ce type de décalage calendaire soit systématiquement porté au comité de suivi budgétaire mensuel et non découvert lors de la revue semestrielle.</w:t>
      </w:r>
    </w:p>
    <w:p>
      <w:r>
        <w:t>À l'inverse, la direction des opérations affiche un taux de 34,1 %, dont l'analyse révèle deux causes distinctes. La première est un décalage de six mois du programme de renouvellement de l'outillage de supervision, dont l'appel d'offres a été déclaré infructueux et relancé. La seconde est un sous-effectif chronique de quatre postes non pourvus depuis plus de six mois, générant une économie de masse salariale qui masque une difficulté opérationnelle réelle. Le directeur général relève que cette économie ne doit en aucun cas être considérée comme une performance et demande un point spécifique sur ces recrutements.</w:t>
      </w:r>
    </w:p>
    <w:p>
      <w:pPr>
        <w:pStyle w:val="Heading2"/>
      </w:pPr>
      <w:r>
        <w:t>Exécution budgétaire au 31 mai 2026</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4A4A4A"/>
          </w:tcPr>
          <w:p>
            <w:r/>
            <w:r>
              <w:rPr>
                <w:b/>
                <w:color w:val="FFFFFF"/>
                <w:sz w:val="18"/>
              </w:rPr>
              <w:t>Direction</w:t>
            </w:r>
          </w:p>
        </w:tc>
        <w:tc>
          <w:tcPr>
            <w:tcW w:type="dxa" w:w="1949"/>
            <w:shd w:val="clear" w:color="auto" w:fill="4A4A4A"/>
          </w:tcPr>
          <w:p>
            <w:r/>
            <w:r>
              <w:rPr>
                <w:b/>
                <w:color w:val="FFFFFF"/>
                <w:sz w:val="18"/>
              </w:rPr>
              <w:t>Budget annuel</w:t>
            </w:r>
          </w:p>
        </w:tc>
        <w:tc>
          <w:tcPr>
            <w:tcW w:type="dxa" w:w="1949"/>
            <w:shd w:val="clear" w:color="auto" w:fill="4A4A4A"/>
          </w:tcPr>
          <w:p>
            <w:r/>
            <w:r>
              <w:rPr>
                <w:b/>
                <w:color w:val="FFFFFF"/>
                <w:sz w:val="18"/>
              </w:rPr>
              <w:t>Consommé</w:t>
            </w:r>
          </w:p>
        </w:tc>
        <w:tc>
          <w:tcPr>
            <w:tcW w:type="dxa" w:w="1949"/>
            <w:shd w:val="clear" w:color="auto" w:fill="4A4A4A"/>
          </w:tcPr>
          <w:p>
            <w:r/>
            <w:r>
              <w:rPr>
                <w:b/>
                <w:color w:val="FFFFFF"/>
                <w:sz w:val="18"/>
              </w:rPr>
              <w:t>Taux</w:t>
            </w:r>
          </w:p>
        </w:tc>
        <w:tc>
          <w:tcPr>
            <w:tcW w:type="dxa" w:w="1949"/>
            <w:shd w:val="clear" w:color="auto" w:fill="4A4A4A"/>
          </w:tcPr>
          <w:p>
            <w:r/>
            <w:r>
              <w:rPr>
                <w:b/>
                <w:color w:val="FFFFFF"/>
                <w:sz w:val="18"/>
              </w:rPr>
              <w:t>Projection atterrissage</w:t>
            </w:r>
          </w:p>
        </w:tc>
      </w:tr>
      <w:tr>
        <w:tc>
          <w:tcPr>
            <w:tcW w:type="dxa" w:w="1949"/>
          </w:tcPr>
          <w:p>
            <w:r/>
            <w:r>
              <w:rPr>
                <w:sz w:val="18"/>
              </w:rPr>
              <w:t>Direction technique</w:t>
            </w:r>
          </w:p>
        </w:tc>
        <w:tc>
          <w:tcPr>
            <w:tcW w:type="dxa" w:w="1949"/>
          </w:tcPr>
          <w:p>
            <w:r/>
            <w:r>
              <w:rPr>
                <w:sz w:val="18"/>
              </w:rPr>
              <w:t>38 400</w:t>
            </w:r>
          </w:p>
        </w:tc>
        <w:tc>
          <w:tcPr>
            <w:tcW w:type="dxa" w:w="1949"/>
          </w:tcPr>
          <w:p>
            <w:r/>
            <w:r>
              <w:rPr>
                <w:sz w:val="18"/>
              </w:rPr>
              <w:t>18 547</w:t>
            </w:r>
          </w:p>
        </w:tc>
        <w:tc>
          <w:tcPr>
            <w:tcW w:type="dxa" w:w="1949"/>
          </w:tcPr>
          <w:p>
            <w:r/>
            <w:r>
              <w:rPr>
                <w:sz w:val="18"/>
              </w:rPr>
              <w:t>48,3 %</w:t>
            </w:r>
          </w:p>
        </w:tc>
        <w:tc>
          <w:tcPr>
            <w:tcW w:type="dxa" w:w="1949"/>
          </w:tcPr>
          <w:p>
            <w:r/>
            <w:r>
              <w:rPr>
                <w:sz w:val="18"/>
              </w:rPr>
              <w:t>39 100 (+1,8 %)</w:t>
            </w:r>
          </w:p>
        </w:tc>
      </w:tr>
      <w:tr>
        <w:tc>
          <w:tcPr>
            <w:tcW w:type="dxa" w:w="1949"/>
          </w:tcPr>
          <w:p>
            <w:r/>
            <w:r>
              <w:rPr>
                <w:sz w:val="18"/>
              </w:rPr>
              <w:t>Direction commerciale</w:t>
            </w:r>
          </w:p>
        </w:tc>
        <w:tc>
          <w:tcPr>
            <w:tcW w:type="dxa" w:w="1949"/>
          </w:tcPr>
          <w:p>
            <w:r/>
            <w:r>
              <w:rPr>
                <w:sz w:val="18"/>
              </w:rPr>
              <w:t>31 200</w:t>
            </w:r>
          </w:p>
        </w:tc>
        <w:tc>
          <w:tcPr>
            <w:tcW w:type="dxa" w:w="1949"/>
          </w:tcPr>
          <w:p>
            <w:r/>
            <w:r>
              <w:rPr>
                <w:sz w:val="18"/>
              </w:rPr>
              <w:t>13 104</w:t>
            </w:r>
          </w:p>
        </w:tc>
        <w:tc>
          <w:tcPr>
            <w:tcW w:type="dxa" w:w="1949"/>
          </w:tcPr>
          <w:p>
            <w:r/>
            <w:r>
              <w:rPr>
                <w:sz w:val="18"/>
              </w:rPr>
              <w:t>42,0 %</w:t>
            </w:r>
          </w:p>
        </w:tc>
        <w:tc>
          <w:tcPr>
            <w:tcW w:type="dxa" w:w="1949"/>
          </w:tcPr>
          <w:p>
            <w:r/>
            <w:r>
              <w:rPr>
                <w:sz w:val="18"/>
              </w:rPr>
              <w:t>31 000 (-0,6 %)</w:t>
            </w:r>
          </w:p>
        </w:tc>
      </w:tr>
      <w:tr>
        <w:tc>
          <w:tcPr>
            <w:tcW w:type="dxa" w:w="1949"/>
          </w:tcPr>
          <w:p>
            <w:r/>
            <w:r>
              <w:rPr>
                <w:sz w:val="18"/>
              </w:rPr>
              <w:t>Direction marketing</w:t>
            </w:r>
          </w:p>
        </w:tc>
        <w:tc>
          <w:tcPr>
            <w:tcW w:type="dxa" w:w="1949"/>
          </w:tcPr>
          <w:p>
            <w:r/>
            <w:r>
              <w:rPr>
                <w:sz w:val="18"/>
              </w:rPr>
              <w:t>12 800</w:t>
            </w:r>
          </w:p>
        </w:tc>
        <w:tc>
          <w:tcPr>
            <w:tcW w:type="dxa" w:w="1949"/>
          </w:tcPr>
          <w:p>
            <w:r/>
            <w:r>
              <w:rPr>
                <w:sz w:val="18"/>
              </w:rPr>
              <w:t>5 376</w:t>
            </w:r>
          </w:p>
        </w:tc>
        <w:tc>
          <w:tcPr>
            <w:tcW w:type="dxa" w:w="1949"/>
          </w:tcPr>
          <w:p>
            <w:r/>
            <w:r>
              <w:rPr>
                <w:sz w:val="18"/>
              </w:rPr>
              <w:t>42,0 %</w:t>
            </w:r>
          </w:p>
        </w:tc>
        <w:tc>
          <w:tcPr>
            <w:tcW w:type="dxa" w:w="1949"/>
          </w:tcPr>
          <w:p>
            <w:r/>
            <w:r>
              <w:rPr>
                <w:sz w:val="18"/>
              </w:rPr>
              <w:t>12 900 (+0,8 %)</w:t>
            </w:r>
          </w:p>
        </w:tc>
      </w:tr>
      <w:tr>
        <w:tc>
          <w:tcPr>
            <w:tcW w:type="dxa" w:w="1949"/>
          </w:tcPr>
          <w:p>
            <w:r/>
            <w:r>
              <w:rPr>
                <w:sz w:val="18"/>
              </w:rPr>
              <w:t>Direction des opérations</w:t>
            </w:r>
          </w:p>
        </w:tc>
        <w:tc>
          <w:tcPr>
            <w:tcW w:type="dxa" w:w="1949"/>
          </w:tcPr>
          <w:p>
            <w:r/>
            <w:r>
              <w:rPr>
                <w:sz w:val="18"/>
              </w:rPr>
              <w:t>24 600</w:t>
            </w:r>
          </w:p>
        </w:tc>
        <w:tc>
          <w:tcPr>
            <w:tcW w:type="dxa" w:w="1949"/>
          </w:tcPr>
          <w:p>
            <w:r/>
            <w:r>
              <w:rPr>
                <w:sz w:val="18"/>
              </w:rPr>
              <w:t>8 389</w:t>
            </w:r>
          </w:p>
        </w:tc>
        <w:tc>
          <w:tcPr>
            <w:tcW w:type="dxa" w:w="1949"/>
          </w:tcPr>
          <w:p>
            <w:r/>
            <w:r>
              <w:rPr>
                <w:sz w:val="18"/>
              </w:rPr>
              <w:t>34,1 %</w:t>
            </w:r>
          </w:p>
        </w:tc>
        <w:tc>
          <w:tcPr>
            <w:tcW w:type="dxa" w:w="1949"/>
          </w:tcPr>
          <w:p>
            <w:r/>
            <w:r>
              <w:rPr>
                <w:sz w:val="18"/>
              </w:rPr>
              <w:t>22 800 (-7,3 %)</w:t>
            </w:r>
          </w:p>
        </w:tc>
      </w:tr>
      <w:tr>
        <w:tc>
          <w:tcPr>
            <w:tcW w:type="dxa" w:w="1949"/>
          </w:tcPr>
          <w:p>
            <w:r/>
            <w:r>
              <w:rPr>
                <w:sz w:val="18"/>
              </w:rPr>
              <w:t>Direction des ressources humaines</w:t>
            </w:r>
          </w:p>
        </w:tc>
        <w:tc>
          <w:tcPr>
            <w:tcW w:type="dxa" w:w="1949"/>
          </w:tcPr>
          <w:p>
            <w:r/>
            <w:r>
              <w:rPr>
                <w:sz w:val="18"/>
              </w:rPr>
              <w:t>6 400</w:t>
            </w:r>
          </w:p>
        </w:tc>
        <w:tc>
          <w:tcPr>
            <w:tcW w:type="dxa" w:w="1949"/>
          </w:tcPr>
          <w:p>
            <w:r/>
            <w:r>
              <w:rPr>
                <w:sz w:val="18"/>
              </w:rPr>
              <w:t>2 432</w:t>
            </w:r>
          </w:p>
        </w:tc>
        <w:tc>
          <w:tcPr>
            <w:tcW w:type="dxa" w:w="1949"/>
          </w:tcPr>
          <w:p>
            <w:r/>
            <w:r>
              <w:rPr>
                <w:sz w:val="18"/>
              </w:rPr>
              <w:t>38,0 %</w:t>
            </w:r>
          </w:p>
        </w:tc>
        <w:tc>
          <w:tcPr>
            <w:tcW w:type="dxa" w:w="1949"/>
          </w:tcPr>
          <w:p>
            <w:r/>
            <w:r>
              <w:rPr>
                <w:sz w:val="18"/>
              </w:rPr>
              <w:t>6 200 (-3,1 %)</w:t>
            </w:r>
          </w:p>
        </w:tc>
      </w:tr>
      <w:tr>
        <w:tc>
          <w:tcPr>
            <w:tcW w:type="dxa" w:w="1949"/>
          </w:tcPr>
          <w:p>
            <w:r/>
            <w:r>
              <w:rPr>
                <w:sz w:val="18"/>
              </w:rPr>
              <w:t>Direction administrative et financière</w:t>
            </w:r>
          </w:p>
        </w:tc>
        <w:tc>
          <w:tcPr>
            <w:tcW w:type="dxa" w:w="1949"/>
          </w:tcPr>
          <w:p>
            <w:r/>
            <w:r>
              <w:rPr>
                <w:sz w:val="18"/>
              </w:rPr>
              <w:t>8 900</w:t>
            </w:r>
          </w:p>
        </w:tc>
        <w:tc>
          <w:tcPr>
            <w:tcW w:type="dxa" w:w="1949"/>
          </w:tcPr>
          <w:p>
            <w:r/>
            <w:r>
              <w:rPr>
                <w:sz w:val="18"/>
              </w:rPr>
              <w:t>3 471</w:t>
            </w:r>
          </w:p>
        </w:tc>
        <w:tc>
          <w:tcPr>
            <w:tcW w:type="dxa" w:w="1949"/>
          </w:tcPr>
          <w:p>
            <w:r/>
            <w:r>
              <w:rPr>
                <w:sz w:val="18"/>
              </w:rPr>
              <w:t>39,0 %</w:t>
            </w:r>
          </w:p>
        </w:tc>
        <w:tc>
          <w:tcPr>
            <w:tcW w:type="dxa" w:w="1949"/>
          </w:tcPr>
          <w:p>
            <w:r/>
            <w:r>
              <w:rPr>
                <w:sz w:val="18"/>
              </w:rPr>
              <w:t>8 800 (-1,1 %)</w:t>
            </w:r>
          </w:p>
        </w:tc>
      </w:tr>
      <w:tr>
        <w:tc>
          <w:tcPr>
            <w:tcW w:type="dxa" w:w="1949"/>
          </w:tcPr>
          <w:p>
            <w:r/>
            <w:r>
              <w:rPr>
                <w:sz w:val="18"/>
              </w:rPr>
              <w:t>Services généraux et immobilier</w:t>
            </w:r>
          </w:p>
        </w:tc>
        <w:tc>
          <w:tcPr>
            <w:tcW w:type="dxa" w:w="1949"/>
          </w:tcPr>
          <w:p>
            <w:r/>
            <w:r>
              <w:rPr>
                <w:sz w:val="18"/>
              </w:rPr>
              <w:t>11 100</w:t>
            </w:r>
          </w:p>
        </w:tc>
        <w:tc>
          <w:tcPr>
            <w:tcW w:type="dxa" w:w="1949"/>
          </w:tcPr>
          <w:p>
            <w:r/>
            <w:r>
              <w:rPr>
                <w:sz w:val="18"/>
              </w:rPr>
              <w:t>4 218</w:t>
            </w:r>
          </w:p>
        </w:tc>
        <w:tc>
          <w:tcPr>
            <w:tcW w:type="dxa" w:w="1949"/>
          </w:tcPr>
          <w:p>
            <w:r/>
            <w:r>
              <w:rPr>
                <w:sz w:val="18"/>
              </w:rPr>
              <w:t>38,0 %</w:t>
            </w:r>
          </w:p>
        </w:tc>
        <w:tc>
          <w:tcPr>
            <w:tcW w:type="dxa" w:w="1949"/>
          </w:tcPr>
          <w:p>
            <w:r/>
            <w:r>
              <w:rPr>
                <w:sz w:val="18"/>
              </w:rPr>
              <w:t>10 900 (-1,8 %)</w:t>
            </w:r>
          </w:p>
        </w:tc>
      </w:tr>
      <w:tr>
        <w:tc>
          <w:tcPr>
            <w:tcW w:type="dxa" w:w="1949"/>
          </w:tcPr>
          <w:p>
            <w:r/>
            <w:r>
              <w:rPr>
                <w:sz w:val="18"/>
              </w:rPr>
              <w:t>Total</w:t>
            </w:r>
          </w:p>
        </w:tc>
        <w:tc>
          <w:tcPr>
            <w:tcW w:type="dxa" w:w="1949"/>
          </w:tcPr>
          <w:p>
            <w:r/>
            <w:r>
              <w:rPr>
                <w:sz w:val="18"/>
              </w:rPr>
              <w:t>133 400</w:t>
            </w:r>
          </w:p>
        </w:tc>
        <w:tc>
          <w:tcPr>
            <w:tcW w:type="dxa" w:w="1949"/>
          </w:tcPr>
          <w:p>
            <w:r/>
            <w:r>
              <w:rPr>
                <w:sz w:val="18"/>
              </w:rPr>
              <w:t>53 537</w:t>
            </w:r>
          </w:p>
        </w:tc>
        <w:tc>
          <w:tcPr>
            <w:tcW w:type="dxa" w:w="1949"/>
          </w:tcPr>
          <w:p>
            <w:r/>
            <w:r>
              <w:rPr>
                <w:sz w:val="18"/>
              </w:rPr>
              <w:t>40,2 %</w:t>
            </w:r>
          </w:p>
        </w:tc>
        <w:tc>
          <w:tcPr>
            <w:tcW w:type="dxa" w:w="1949"/>
          </w:tcPr>
          <w:p>
            <w:r/>
            <w:r>
              <w:rPr>
                <w:sz w:val="18"/>
              </w:rPr>
              <w:t>131 700 (-1,3 %)</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Une sous-consommation n'est pas nécessairement une bonne nouvelle. Elle traduit fréquemment un projet non engagé ou un poste non pourvu, dont l'impact opérationnel est différé mais réel.</w:t>
            </w:r>
          </w:p>
        </w:tc>
      </w:tr>
    </w:tbl>
    <w:p/>
    <w:p>
      <w:r>
        <w:br w:type="page"/>
      </w:r>
    </w:p>
    <w:p>
      <w:pPr>
        <w:pStyle w:val="Heading1"/>
      </w:pPr>
      <w:r>
        <w:rPr>
          <w:color w:val="4A4A4A"/>
        </w:rPr>
        <w:t>4. Arbitrage 1 — Hébergement et infrastructure d'intelligence artificielle</w:t>
      </w:r>
    </w:p>
    <w:p>
      <w:r>
        <w:rPr>
          <w:i/>
          <w:color w:val="555555"/>
        </w:rPr>
        <w:t>Demande initiale de 14,2 MEUR contre 9,6 MEUR au cadrage : l'arbitrage le plus structurant de la séance.</w:t>
      </w:r>
    </w:p>
    <w:p>
      <w:r>
        <w:t>Le directeur technique présente la demande. L'enveloppe sollicitée de 14,2 MEUR se décompose en 8,1 MEUR d'hébergement de la plateforme applicative, en croissance de 11 % liée au volume, et 6,1 MEUR d'infrastructure dédiée à l'intelligence artificielle, en croissance de 94 % par rapport à 2026. Ce second poste couvre le calcul d'inférence des trois chantiers du programme, le stockage et le traitement des données d'entraînement, ainsi que la capacité d'expérimentation nécessaire aux équipes de recherche.</w:t>
      </w:r>
    </w:p>
    <w:p>
      <w:r>
        <w:t>Le directeur administratif et financier conteste la méthode de construction du poste d'inférence, dimensionné sur une hypothèse d'adoption de 100 % de la base clients dès le premier trimestre 2027. Il rappelle que le module d'analyse prédictive, lancé en février 2026, a atteint 187 clients sur 1 043 en sept mois, soit un taux d'adoption de 18 %. Dimensionner sur une adoption immédiate et totale conduit à financer une capacité largement inutilisée. Le directeur technique reconnaît le caractère conservateur du dimensionnement mais souligne le risque symétrique d'une capacité insuffisante en cas de succès rapide.</w:t>
      </w:r>
    </w:p>
    <w:p>
      <w:r>
        <w:t>La directrice générale arbitre en retenant une approche par paliers. L'enveloppe d'infrastructure d'intelligence artificielle est fixée à 4,3 MEUR, dimensionnée sur une hypothèse d'adoption de 45 % en fin d'exercice avec une montée en charge progressive. Un palier complémentaire de 1,4 MEUR est provisionné en réserve de gestion, libérable sur décision du comité de direction dès lors que le taux d'adoption constaté dépasse 35 % avant la fin du troisième trimestre. Cette construction préserve la capacité de réaction en cas de succès tout en évitant de financer une capacité hypothétique.</w:t>
      </w:r>
    </w:p>
    <w:p>
      <w:r>
        <w:t>Le directeur technique obtient par ailleurs le maintien intégral de l'enveloppe d'expérimentation à 0,9 MEUR, la directrice générale estimant que la réduction de la capacité d'expérimentation constitue précisément le type d'économie de court terme aux conséquences durables. Il est en contrepartie demandé un suivi mensuel du coût d'inférence par requête, indicateur dont la trajectoire décroissante constatée en 2026 doit se poursuivre, avec un objectif de réduction supplémentaire de 30 % sur l'exercice.</w:t>
      </w:r>
    </w:p>
    <w:p>
      <w:pPr>
        <w:pStyle w:val="Heading2"/>
      </w:pPr>
      <w:r>
        <w:t>Arbitrage sur l'enveloppe d'hébergement et d'infrastructure IA</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4A4A4A"/>
          </w:tcPr>
          <w:p>
            <w:r/>
            <w:r>
              <w:rPr>
                <w:b/>
                <w:color w:val="FFFFFF"/>
                <w:sz w:val="18"/>
              </w:rPr>
              <w:t>Poste</w:t>
            </w:r>
          </w:p>
        </w:tc>
        <w:tc>
          <w:tcPr>
            <w:tcW w:type="dxa" w:w="1949"/>
            <w:shd w:val="clear" w:color="auto" w:fill="4A4A4A"/>
          </w:tcPr>
          <w:p>
            <w:r/>
            <w:r>
              <w:rPr>
                <w:b/>
                <w:color w:val="FFFFFF"/>
                <w:sz w:val="18"/>
              </w:rPr>
              <w:t>Demandé</w:t>
            </w:r>
          </w:p>
        </w:tc>
        <w:tc>
          <w:tcPr>
            <w:tcW w:type="dxa" w:w="1949"/>
            <w:shd w:val="clear" w:color="auto" w:fill="4A4A4A"/>
          </w:tcPr>
          <w:p>
            <w:r/>
            <w:r>
              <w:rPr>
                <w:b/>
                <w:color w:val="FFFFFF"/>
                <w:sz w:val="18"/>
              </w:rPr>
              <w:t>Cadrage</w:t>
            </w:r>
          </w:p>
        </w:tc>
        <w:tc>
          <w:tcPr>
            <w:tcW w:type="dxa" w:w="1949"/>
            <w:shd w:val="clear" w:color="auto" w:fill="4A4A4A"/>
          </w:tcPr>
          <w:p>
            <w:r/>
            <w:r>
              <w:rPr>
                <w:b/>
                <w:color w:val="FFFFFF"/>
                <w:sz w:val="18"/>
              </w:rPr>
              <w:t>Arbitré</w:t>
            </w:r>
          </w:p>
        </w:tc>
        <w:tc>
          <w:tcPr>
            <w:tcW w:type="dxa" w:w="1949"/>
            <w:shd w:val="clear" w:color="auto" w:fill="4A4A4A"/>
          </w:tcPr>
          <w:p>
            <w:r/>
            <w:r>
              <w:rPr>
                <w:b/>
                <w:color w:val="FFFFFF"/>
                <w:sz w:val="18"/>
              </w:rPr>
              <w:t>Écart</w:t>
            </w:r>
          </w:p>
        </w:tc>
      </w:tr>
      <w:tr>
        <w:tc>
          <w:tcPr>
            <w:tcW w:type="dxa" w:w="1949"/>
          </w:tcPr>
          <w:p>
            <w:r/>
            <w:r>
              <w:rPr>
                <w:sz w:val="18"/>
              </w:rPr>
              <w:t>Hébergement plateforme applicative</w:t>
            </w:r>
          </w:p>
        </w:tc>
        <w:tc>
          <w:tcPr>
            <w:tcW w:type="dxa" w:w="1949"/>
          </w:tcPr>
          <w:p>
            <w:r/>
            <w:r>
              <w:rPr>
                <w:sz w:val="18"/>
              </w:rPr>
              <w:t>8 100</w:t>
            </w:r>
          </w:p>
        </w:tc>
        <w:tc>
          <w:tcPr>
            <w:tcW w:type="dxa" w:w="1949"/>
          </w:tcPr>
          <w:p>
            <w:r/>
            <w:r>
              <w:rPr>
                <w:sz w:val="18"/>
              </w:rPr>
              <w:t>7 800</w:t>
            </w:r>
          </w:p>
        </w:tc>
        <w:tc>
          <w:tcPr>
            <w:tcW w:type="dxa" w:w="1949"/>
          </w:tcPr>
          <w:p>
            <w:r/>
            <w:r>
              <w:rPr>
                <w:sz w:val="18"/>
              </w:rPr>
              <w:t>7 900</w:t>
            </w:r>
          </w:p>
        </w:tc>
        <w:tc>
          <w:tcPr>
            <w:tcW w:type="dxa" w:w="1949"/>
          </w:tcPr>
          <w:p>
            <w:r/>
            <w:r>
              <w:rPr>
                <w:sz w:val="18"/>
              </w:rPr>
              <w:t>-200</w:t>
            </w:r>
          </w:p>
        </w:tc>
      </w:tr>
      <w:tr>
        <w:tc>
          <w:tcPr>
            <w:tcW w:type="dxa" w:w="1949"/>
          </w:tcPr>
          <w:p>
            <w:r/>
            <w:r>
              <w:rPr>
                <w:sz w:val="18"/>
              </w:rPr>
              <w:t>Inférence IA en production</w:t>
            </w:r>
          </w:p>
        </w:tc>
        <w:tc>
          <w:tcPr>
            <w:tcW w:type="dxa" w:w="1949"/>
          </w:tcPr>
          <w:p>
            <w:r/>
            <w:r>
              <w:rPr>
                <w:sz w:val="18"/>
              </w:rPr>
              <w:t>4 200</w:t>
            </w:r>
          </w:p>
        </w:tc>
        <w:tc>
          <w:tcPr>
            <w:tcW w:type="dxa" w:w="1949"/>
          </w:tcPr>
          <w:p>
            <w:r/>
            <w:r>
              <w:rPr>
                <w:sz w:val="18"/>
              </w:rPr>
              <w:t>1 500</w:t>
            </w:r>
          </w:p>
        </w:tc>
        <w:tc>
          <w:tcPr>
            <w:tcW w:type="dxa" w:w="1949"/>
          </w:tcPr>
          <w:p>
            <w:r/>
            <w:r>
              <w:rPr>
                <w:sz w:val="18"/>
              </w:rPr>
              <w:t>2 600</w:t>
            </w:r>
          </w:p>
        </w:tc>
        <w:tc>
          <w:tcPr>
            <w:tcW w:type="dxa" w:w="1949"/>
          </w:tcPr>
          <w:p>
            <w:r/>
            <w:r>
              <w:rPr>
                <w:sz w:val="18"/>
              </w:rPr>
              <w:t>-1 600</w:t>
            </w:r>
          </w:p>
        </w:tc>
      </w:tr>
      <w:tr>
        <w:tc>
          <w:tcPr>
            <w:tcW w:type="dxa" w:w="1949"/>
          </w:tcPr>
          <w:p>
            <w:r/>
            <w:r>
              <w:rPr>
                <w:sz w:val="18"/>
              </w:rPr>
              <w:t>Entraînement et données</w:t>
            </w:r>
          </w:p>
        </w:tc>
        <w:tc>
          <w:tcPr>
            <w:tcW w:type="dxa" w:w="1949"/>
          </w:tcPr>
          <w:p>
            <w:r/>
            <w:r>
              <w:rPr>
                <w:sz w:val="18"/>
              </w:rPr>
              <w:t>1 000</w:t>
            </w:r>
          </w:p>
        </w:tc>
        <w:tc>
          <w:tcPr>
            <w:tcW w:type="dxa" w:w="1949"/>
          </w:tcPr>
          <w:p>
            <w:r/>
            <w:r>
              <w:rPr>
                <w:sz w:val="18"/>
              </w:rPr>
              <w:t>600</w:t>
            </w:r>
          </w:p>
        </w:tc>
        <w:tc>
          <w:tcPr>
            <w:tcW w:type="dxa" w:w="1949"/>
          </w:tcPr>
          <w:p>
            <w:r/>
            <w:r>
              <w:rPr>
                <w:sz w:val="18"/>
              </w:rPr>
              <w:t>800</w:t>
            </w:r>
          </w:p>
        </w:tc>
        <w:tc>
          <w:tcPr>
            <w:tcW w:type="dxa" w:w="1949"/>
          </w:tcPr>
          <w:p>
            <w:r/>
            <w:r>
              <w:rPr>
                <w:sz w:val="18"/>
              </w:rPr>
              <w:t>-200</w:t>
            </w:r>
          </w:p>
        </w:tc>
      </w:tr>
      <w:tr>
        <w:tc>
          <w:tcPr>
            <w:tcW w:type="dxa" w:w="1949"/>
          </w:tcPr>
          <w:p>
            <w:r/>
            <w:r>
              <w:rPr>
                <w:sz w:val="18"/>
              </w:rPr>
              <w:t>Capacité d'expérimentation</w:t>
            </w:r>
          </w:p>
        </w:tc>
        <w:tc>
          <w:tcPr>
            <w:tcW w:type="dxa" w:w="1949"/>
          </w:tcPr>
          <w:p>
            <w:r/>
            <w:r>
              <w:rPr>
                <w:sz w:val="18"/>
              </w:rPr>
              <w:t>900</w:t>
            </w:r>
          </w:p>
        </w:tc>
        <w:tc>
          <w:tcPr>
            <w:tcW w:type="dxa" w:w="1949"/>
          </w:tcPr>
          <w:p>
            <w:r/>
            <w:r>
              <w:rPr>
                <w:sz w:val="18"/>
              </w:rPr>
              <w:t>600</w:t>
            </w:r>
          </w:p>
        </w:tc>
        <w:tc>
          <w:tcPr>
            <w:tcW w:type="dxa" w:w="1949"/>
          </w:tcPr>
          <w:p>
            <w:r/>
            <w:r>
              <w:rPr>
                <w:sz w:val="18"/>
              </w:rPr>
              <w:t>900</w:t>
            </w:r>
          </w:p>
        </w:tc>
        <w:tc>
          <w:tcPr>
            <w:tcW w:type="dxa" w:w="1949"/>
          </w:tcPr>
          <w:p>
            <w:r/>
            <w:r>
              <w:rPr>
                <w:sz w:val="18"/>
              </w:rPr>
              <w:t>0</w:t>
            </w:r>
          </w:p>
        </w:tc>
      </w:tr>
      <w:tr>
        <w:tc>
          <w:tcPr>
            <w:tcW w:type="dxa" w:w="1949"/>
          </w:tcPr>
          <w:p>
            <w:r/>
            <w:r>
              <w:rPr>
                <w:sz w:val="18"/>
              </w:rPr>
              <w:t>Sous-total infrastructure IA</w:t>
            </w:r>
          </w:p>
        </w:tc>
        <w:tc>
          <w:tcPr>
            <w:tcW w:type="dxa" w:w="1949"/>
          </w:tcPr>
          <w:p>
            <w:r/>
            <w:r>
              <w:rPr>
                <w:sz w:val="18"/>
              </w:rPr>
              <w:t>6 100</w:t>
            </w:r>
          </w:p>
        </w:tc>
        <w:tc>
          <w:tcPr>
            <w:tcW w:type="dxa" w:w="1949"/>
          </w:tcPr>
          <w:p>
            <w:r/>
            <w:r>
              <w:rPr>
                <w:sz w:val="18"/>
              </w:rPr>
              <w:t>2 700</w:t>
            </w:r>
          </w:p>
        </w:tc>
        <w:tc>
          <w:tcPr>
            <w:tcW w:type="dxa" w:w="1949"/>
          </w:tcPr>
          <w:p>
            <w:r/>
            <w:r>
              <w:rPr>
                <w:sz w:val="18"/>
              </w:rPr>
              <w:t>4 300</w:t>
            </w:r>
          </w:p>
        </w:tc>
        <w:tc>
          <w:tcPr>
            <w:tcW w:type="dxa" w:w="1949"/>
          </w:tcPr>
          <w:p>
            <w:r/>
            <w:r>
              <w:rPr>
                <w:sz w:val="18"/>
              </w:rPr>
              <w:t>-1 800</w:t>
            </w:r>
          </w:p>
        </w:tc>
      </w:tr>
      <w:tr>
        <w:tc>
          <w:tcPr>
            <w:tcW w:type="dxa" w:w="1949"/>
          </w:tcPr>
          <w:p>
            <w:r/>
            <w:r>
              <w:rPr>
                <w:sz w:val="18"/>
              </w:rPr>
              <w:t>Total enveloppe</w:t>
            </w:r>
          </w:p>
        </w:tc>
        <w:tc>
          <w:tcPr>
            <w:tcW w:type="dxa" w:w="1949"/>
          </w:tcPr>
          <w:p>
            <w:r/>
            <w:r>
              <w:rPr>
                <w:sz w:val="18"/>
              </w:rPr>
              <w:t>14 200</w:t>
            </w:r>
          </w:p>
        </w:tc>
        <w:tc>
          <w:tcPr>
            <w:tcW w:type="dxa" w:w="1949"/>
          </w:tcPr>
          <w:p>
            <w:r/>
            <w:r>
              <w:rPr>
                <w:sz w:val="18"/>
              </w:rPr>
              <w:t>10 500</w:t>
            </w:r>
          </w:p>
        </w:tc>
        <w:tc>
          <w:tcPr>
            <w:tcW w:type="dxa" w:w="1949"/>
          </w:tcPr>
          <w:p>
            <w:r/>
            <w:r>
              <w:rPr>
                <w:sz w:val="18"/>
              </w:rPr>
              <w:t>12 200</w:t>
            </w:r>
          </w:p>
        </w:tc>
        <w:tc>
          <w:tcPr>
            <w:tcW w:type="dxa" w:w="1949"/>
          </w:tcPr>
          <w:p>
            <w:r/>
            <w:r>
              <w:rPr>
                <w:sz w:val="18"/>
              </w:rPr>
              <w:t>-2 000</w:t>
            </w:r>
          </w:p>
        </w:tc>
      </w:tr>
      <w:tr>
        <w:tc>
          <w:tcPr>
            <w:tcW w:type="dxa" w:w="1949"/>
          </w:tcPr>
          <w:p>
            <w:r/>
            <w:r>
              <w:rPr>
                <w:sz w:val="18"/>
              </w:rPr>
              <w:t>Palier conditionnel en réserve</w:t>
            </w:r>
          </w:p>
        </w:tc>
        <w:tc>
          <w:tcPr>
            <w:tcW w:type="dxa" w:w="1949"/>
          </w:tcPr>
          <w:p>
            <w:r/>
            <w:r>
              <w:rPr>
                <w:sz w:val="18"/>
              </w:rPr>
              <w:t>—</w:t>
            </w:r>
          </w:p>
        </w:tc>
        <w:tc>
          <w:tcPr>
            <w:tcW w:type="dxa" w:w="1949"/>
          </w:tcPr>
          <w:p>
            <w:r/>
            <w:r>
              <w:rPr>
                <w:sz w:val="18"/>
              </w:rPr>
              <w:t>—</w:t>
            </w:r>
          </w:p>
        </w:tc>
        <w:tc>
          <w:tcPr>
            <w:tcW w:type="dxa" w:w="1949"/>
          </w:tcPr>
          <w:p>
            <w:r/>
            <w:r>
              <w:rPr>
                <w:sz w:val="18"/>
              </w:rPr>
              <w:t>1 400</w:t>
            </w:r>
          </w:p>
        </w:tc>
        <w:tc>
          <w:tcPr>
            <w:tcW w:type="dxa" w:w="1949"/>
          </w:tcPr>
          <w:p>
            <w:r/>
            <w:r>
              <w:rPr>
                <w:sz w:val="18"/>
              </w:rPr>
              <w:t>Libérable si adoption &gt; 35 %</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Le palier conditionnel est libérable sur décision du comité de direction, sur présentation du taux d'adoption constaté. Sa non-libération ne constitue pas une économie mais une capacité non requise.</w:t>
            </w:r>
          </w:p>
        </w:tc>
      </w:tr>
    </w:tbl>
    <w:p/>
    <w:p>
      <w:r>
        <w:br w:type="page"/>
      </w:r>
    </w:p>
    <w:p>
      <w:pPr>
        <w:pStyle w:val="Heading1"/>
      </w:pPr>
      <w:r>
        <w:rPr>
          <w:color w:val="4A4A4A"/>
        </w:rPr>
        <w:t>5. Arbitrage 2 — Masse salariale et plan de recrutement</w:t>
      </w:r>
    </w:p>
    <w:p>
      <w:r>
        <w:rPr>
          <w:i/>
          <w:color w:val="555555"/>
        </w:rPr>
        <w:t>Cinquante-huit créations de postes demandées, quarante-deux retenues, avec une priorisation explicite.</w:t>
      </w:r>
    </w:p>
    <w:p>
      <w:r>
        <w:t>La directrice des ressources humaines présente le plan de recrutement consolidé. Les demandes des directions totalisent 58 créations nettes de postes, portant l'effectif cible à 708 équivalents temps plein contre 692 au cadrage. Le coût complet de ces créations, incluant la charge partielle liée à l'étalement des arrivées sur l'exercice, s'établit à 4,9 MEUR contre 3,4 MEUR au cadrage. L'écart de 1,5 MEUR représente le principal poste de dépassement après l'infrastructure.</w:t>
      </w:r>
    </w:p>
    <w:p>
      <w:r>
        <w:t>Le débat porte sur la méthode de priorisation. Le directeur administratif et financier propose une réduction homothétique de 28 % appliquée à chaque direction, méthode simple mais qui traite identiquement des besoins de nature très différente. La directrice commerciale s'y oppose en faisant valoir que les recrutements commerciaux sur le segment des grands comptes présentent un retour sur investissement documenté et mesurable, avec un délai de recouvrement de vingt-deux mois, et qu'ils financent leur propre coût dans l'exercice suivant.</w:t>
      </w:r>
    </w:p>
    <w:p>
      <w:r>
        <w:t>La directrice générale retient une priorisation par nature plutôt qu'une réduction uniforme. Les postes directement générateurs de revenu ou de capacité de production sont priorisés : commerciaux grands comptes, ingénieurs sur les chantiers stratégiques, et postes de support client sur les grands comptes dont l'impact sur la rétention est établi. Sont différés ou refusés les postes de renfort sur des fonctions dont l'automatisation est engagée, ainsi que les créations de postes d'encadrement intermédiaire, la directrice générale considérant que l'organisation compte déjà un niveau hiérarchique de plus que nécessaire à cette taille.</w:t>
      </w:r>
    </w:p>
    <w:p>
      <w:r>
        <w:t>Quarante-deux créations sont retenues, pour un coût complet de 3,7 MEUR. Les quatre postes non pourvus de la direction des opérations sont maintenus et font l'objet d'une action spécifique : la directrice des ressources humaines est chargée d'examiner si le positionnement salarial proposé explique la difficulté de recrutement, hypothèse que le directeur des opérations juge probable au regard des retours de candidats.</w:t>
      </w:r>
    </w:p>
    <w:p>
      <w:pPr>
        <w:pStyle w:val="Heading2"/>
      </w:pPr>
      <w:r>
        <w:t>Critères de priorisation retenus</w:t>
      </w:r>
    </w:p>
    <w:p>
      <w:pPr>
        <w:pStyle w:val="ListBullet"/>
        <w:spacing w:after="60"/>
      </w:pPr>
      <w:r>
        <w:t>Priorité 1 : postes directement générateurs de revenu avec retour sur investissement documenté.</w:t>
      </w:r>
    </w:p>
    <w:p>
      <w:pPr>
        <w:pStyle w:val="ListBullet"/>
        <w:spacing w:after="60"/>
      </w:pPr>
      <w:r>
        <w:t>Priorité 2 : postes de production sur les chantiers stratégiques validés.</w:t>
      </w:r>
    </w:p>
    <w:p>
      <w:pPr>
        <w:pStyle w:val="ListBullet"/>
        <w:spacing w:after="60"/>
      </w:pPr>
      <w:r>
        <w:t>Priorité 3 : postes de support client sur les segments à forte valeur de rétention.</w:t>
      </w:r>
    </w:p>
    <w:p>
      <w:pPr>
        <w:pStyle w:val="ListBullet"/>
        <w:spacing w:after="60"/>
      </w:pPr>
      <w:r>
        <w:t>Différés : renforts sur fonctions dont l'automatisation est engagée.</w:t>
      </w:r>
    </w:p>
    <w:p>
      <w:pPr>
        <w:pStyle w:val="ListBullet"/>
        <w:spacing w:after="60"/>
      </w:pPr>
      <w:r>
        <w:t>Refusés : créations de postes d'encadrement intermédiaire.</w:t>
      </w:r>
    </w:p>
    <w:p>
      <w:pPr>
        <w:pStyle w:val="ListBullet"/>
        <w:spacing w:after="60"/>
      </w:pPr>
      <w:r>
        <w:t>Refusés : postes justifiés par une charge non documentée par des données d'activité.</w:t>
      </w:r>
    </w:p>
    <w:p>
      <w:pPr>
        <w:pStyle w:val="Heading2"/>
      </w:pPr>
      <w:r>
        <w:t>Arbitrage sur le plan de recrutement 2027</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4A4A4A"/>
          </w:tcPr>
          <w:p>
            <w:r/>
            <w:r>
              <w:rPr>
                <w:b/>
                <w:color w:val="FFFFFF"/>
                <w:sz w:val="18"/>
              </w:rPr>
              <w:t>Direction</w:t>
            </w:r>
          </w:p>
        </w:tc>
        <w:tc>
          <w:tcPr>
            <w:tcW w:type="dxa" w:w="1624"/>
            <w:shd w:val="clear" w:color="auto" w:fill="4A4A4A"/>
          </w:tcPr>
          <w:p>
            <w:r/>
            <w:r>
              <w:rPr>
                <w:b/>
                <w:color w:val="FFFFFF"/>
                <w:sz w:val="18"/>
              </w:rPr>
              <w:t>Demandé</w:t>
            </w:r>
          </w:p>
        </w:tc>
        <w:tc>
          <w:tcPr>
            <w:tcW w:type="dxa" w:w="1624"/>
            <w:shd w:val="clear" w:color="auto" w:fill="4A4A4A"/>
          </w:tcPr>
          <w:p>
            <w:r/>
            <w:r>
              <w:rPr>
                <w:b/>
                <w:color w:val="FFFFFF"/>
                <w:sz w:val="18"/>
              </w:rPr>
              <w:t>Retenu</w:t>
            </w:r>
          </w:p>
        </w:tc>
        <w:tc>
          <w:tcPr>
            <w:tcW w:type="dxa" w:w="1624"/>
            <w:shd w:val="clear" w:color="auto" w:fill="4A4A4A"/>
          </w:tcPr>
          <w:p>
            <w:r/>
            <w:r>
              <w:rPr>
                <w:b/>
                <w:color w:val="FFFFFF"/>
                <w:sz w:val="18"/>
              </w:rPr>
              <w:t>Différé</w:t>
            </w:r>
          </w:p>
        </w:tc>
        <w:tc>
          <w:tcPr>
            <w:tcW w:type="dxa" w:w="1624"/>
            <w:shd w:val="clear" w:color="auto" w:fill="4A4A4A"/>
          </w:tcPr>
          <w:p>
            <w:r/>
            <w:r>
              <w:rPr>
                <w:b/>
                <w:color w:val="FFFFFF"/>
                <w:sz w:val="18"/>
              </w:rPr>
              <w:t>Refusé</w:t>
            </w:r>
          </w:p>
        </w:tc>
        <w:tc>
          <w:tcPr>
            <w:tcW w:type="dxa" w:w="1624"/>
            <w:shd w:val="clear" w:color="auto" w:fill="4A4A4A"/>
          </w:tcPr>
          <w:p>
            <w:r/>
            <w:r>
              <w:rPr>
                <w:b/>
                <w:color w:val="FFFFFF"/>
                <w:sz w:val="18"/>
              </w:rPr>
              <w:t>Coût retenu (kEUR)</w:t>
            </w:r>
          </w:p>
        </w:tc>
      </w:tr>
      <w:tr>
        <w:tc>
          <w:tcPr>
            <w:tcW w:type="dxa" w:w="1624"/>
          </w:tcPr>
          <w:p>
            <w:r/>
            <w:r>
              <w:rPr>
                <w:sz w:val="18"/>
              </w:rPr>
              <w:t>Direction technique</w:t>
            </w:r>
          </w:p>
        </w:tc>
        <w:tc>
          <w:tcPr>
            <w:tcW w:type="dxa" w:w="1624"/>
          </w:tcPr>
          <w:p>
            <w:r/>
            <w:r>
              <w:rPr>
                <w:sz w:val="18"/>
              </w:rPr>
              <w:t>22</w:t>
            </w:r>
          </w:p>
        </w:tc>
        <w:tc>
          <w:tcPr>
            <w:tcW w:type="dxa" w:w="1624"/>
          </w:tcPr>
          <w:p>
            <w:r/>
            <w:r>
              <w:rPr>
                <w:sz w:val="18"/>
              </w:rPr>
              <w:t>17</w:t>
            </w:r>
          </w:p>
        </w:tc>
        <w:tc>
          <w:tcPr>
            <w:tcW w:type="dxa" w:w="1624"/>
          </w:tcPr>
          <w:p>
            <w:r/>
            <w:r>
              <w:rPr>
                <w:sz w:val="18"/>
              </w:rPr>
              <w:t>3</w:t>
            </w:r>
          </w:p>
        </w:tc>
        <w:tc>
          <w:tcPr>
            <w:tcW w:type="dxa" w:w="1624"/>
          </w:tcPr>
          <w:p>
            <w:r/>
            <w:r>
              <w:rPr>
                <w:sz w:val="18"/>
              </w:rPr>
              <w:t>2</w:t>
            </w:r>
          </w:p>
        </w:tc>
        <w:tc>
          <w:tcPr>
            <w:tcW w:type="dxa" w:w="1624"/>
          </w:tcPr>
          <w:p>
            <w:r/>
            <w:r>
              <w:rPr>
                <w:sz w:val="18"/>
              </w:rPr>
              <w:t>1 620</w:t>
            </w:r>
          </w:p>
        </w:tc>
      </w:tr>
      <w:tr>
        <w:tc>
          <w:tcPr>
            <w:tcW w:type="dxa" w:w="1624"/>
          </w:tcPr>
          <w:p>
            <w:r/>
            <w:r>
              <w:rPr>
                <w:sz w:val="18"/>
              </w:rPr>
              <w:t>Direction commerciale</w:t>
            </w:r>
          </w:p>
        </w:tc>
        <w:tc>
          <w:tcPr>
            <w:tcW w:type="dxa" w:w="1624"/>
          </w:tcPr>
          <w:p>
            <w:r/>
            <w:r>
              <w:rPr>
                <w:sz w:val="18"/>
              </w:rPr>
              <w:t>14</w:t>
            </w:r>
          </w:p>
        </w:tc>
        <w:tc>
          <w:tcPr>
            <w:tcW w:type="dxa" w:w="1624"/>
          </w:tcPr>
          <w:p>
            <w:r/>
            <w:r>
              <w:rPr>
                <w:sz w:val="18"/>
              </w:rPr>
              <w:t>12</w:t>
            </w:r>
          </w:p>
        </w:tc>
        <w:tc>
          <w:tcPr>
            <w:tcW w:type="dxa" w:w="1624"/>
          </w:tcPr>
          <w:p>
            <w:r/>
            <w:r>
              <w:rPr>
                <w:sz w:val="18"/>
              </w:rPr>
              <w:t>2</w:t>
            </w:r>
          </w:p>
        </w:tc>
        <w:tc>
          <w:tcPr>
            <w:tcW w:type="dxa" w:w="1624"/>
          </w:tcPr>
          <w:p>
            <w:r/>
            <w:r>
              <w:rPr>
                <w:sz w:val="18"/>
              </w:rPr>
              <w:t>0</w:t>
            </w:r>
          </w:p>
        </w:tc>
        <w:tc>
          <w:tcPr>
            <w:tcW w:type="dxa" w:w="1624"/>
          </w:tcPr>
          <w:p>
            <w:r/>
            <w:r>
              <w:rPr>
                <w:sz w:val="18"/>
              </w:rPr>
              <w:t>1 040</w:t>
            </w:r>
          </w:p>
        </w:tc>
      </w:tr>
      <w:tr>
        <w:tc>
          <w:tcPr>
            <w:tcW w:type="dxa" w:w="1624"/>
          </w:tcPr>
          <w:p>
            <w:r/>
            <w:r>
              <w:rPr>
                <w:sz w:val="18"/>
              </w:rPr>
              <w:t>Direction des opérations</w:t>
            </w:r>
          </w:p>
        </w:tc>
        <w:tc>
          <w:tcPr>
            <w:tcW w:type="dxa" w:w="1624"/>
          </w:tcPr>
          <w:p>
            <w:r/>
            <w:r>
              <w:rPr>
                <w:sz w:val="18"/>
              </w:rPr>
              <w:t>9</w:t>
            </w:r>
          </w:p>
        </w:tc>
        <w:tc>
          <w:tcPr>
            <w:tcW w:type="dxa" w:w="1624"/>
          </w:tcPr>
          <w:p>
            <w:r/>
            <w:r>
              <w:rPr>
                <w:sz w:val="18"/>
              </w:rPr>
              <w:t>7</w:t>
            </w:r>
          </w:p>
        </w:tc>
        <w:tc>
          <w:tcPr>
            <w:tcW w:type="dxa" w:w="1624"/>
          </w:tcPr>
          <w:p>
            <w:r/>
            <w:r>
              <w:rPr>
                <w:sz w:val="18"/>
              </w:rPr>
              <w:t>1</w:t>
            </w:r>
          </w:p>
        </w:tc>
        <w:tc>
          <w:tcPr>
            <w:tcW w:type="dxa" w:w="1624"/>
          </w:tcPr>
          <w:p>
            <w:r/>
            <w:r>
              <w:rPr>
                <w:sz w:val="18"/>
              </w:rPr>
              <w:t>1</w:t>
            </w:r>
          </w:p>
        </w:tc>
        <w:tc>
          <w:tcPr>
            <w:tcW w:type="dxa" w:w="1624"/>
          </w:tcPr>
          <w:p>
            <w:r/>
            <w:r>
              <w:rPr>
                <w:sz w:val="18"/>
              </w:rPr>
              <w:t>480</w:t>
            </w:r>
          </w:p>
        </w:tc>
      </w:tr>
      <w:tr>
        <w:tc>
          <w:tcPr>
            <w:tcW w:type="dxa" w:w="1624"/>
          </w:tcPr>
          <w:p>
            <w:r/>
            <w:r>
              <w:rPr>
                <w:sz w:val="18"/>
              </w:rPr>
              <w:t>Direction marketing</w:t>
            </w:r>
          </w:p>
        </w:tc>
        <w:tc>
          <w:tcPr>
            <w:tcW w:type="dxa" w:w="1624"/>
          </w:tcPr>
          <w:p>
            <w:r/>
            <w:r>
              <w:rPr>
                <w:sz w:val="18"/>
              </w:rPr>
              <w:t>5</w:t>
            </w:r>
          </w:p>
        </w:tc>
        <w:tc>
          <w:tcPr>
            <w:tcW w:type="dxa" w:w="1624"/>
          </w:tcPr>
          <w:p>
            <w:r/>
            <w:r>
              <w:rPr>
                <w:sz w:val="18"/>
              </w:rPr>
              <w:t>2</w:t>
            </w:r>
          </w:p>
        </w:tc>
        <w:tc>
          <w:tcPr>
            <w:tcW w:type="dxa" w:w="1624"/>
          </w:tcPr>
          <w:p>
            <w:r/>
            <w:r>
              <w:rPr>
                <w:sz w:val="18"/>
              </w:rPr>
              <w:t>2</w:t>
            </w:r>
          </w:p>
        </w:tc>
        <w:tc>
          <w:tcPr>
            <w:tcW w:type="dxa" w:w="1624"/>
          </w:tcPr>
          <w:p>
            <w:r/>
            <w:r>
              <w:rPr>
                <w:sz w:val="18"/>
              </w:rPr>
              <w:t>1</w:t>
            </w:r>
          </w:p>
        </w:tc>
        <w:tc>
          <w:tcPr>
            <w:tcW w:type="dxa" w:w="1624"/>
          </w:tcPr>
          <w:p>
            <w:r/>
            <w:r>
              <w:rPr>
                <w:sz w:val="18"/>
              </w:rPr>
              <w:t>170</w:t>
            </w:r>
          </w:p>
        </w:tc>
      </w:tr>
      <w:tr>
        <w:tc>
          <w:tcPr>
            <w:tcW w:type="dxa" w:w="1624"/>
          </w:tcPr>
          <w:p>
            <w:r/>
            <w:r>
              <w:rPr>
                <w:sz w:val="18"/>
              </w:rPr>
              <w:t>Direction des ressources humaines</w:t>
            </w:r>
          </w:p>
        </w:tc>
        <w:tc>
          <w:tcPr>
            <w:tcW w:type="dxa" w:w="1624"/>
          </w:tcPr>
          <w:p>
            <w:r/>
            <w:r>
              <w:rPr>
                <w:sz w:val="18"/>
              </w:rPr>
              <w:t>3</w:t>
            </w:r>
          </w:p>
        </w:tc>
        <w:tc>
          <w:tcPr>
            <w:tcW w:type="dxa" w:w="1624"/>
          </w:tcPr>
          <w:p>
            <w:r/>
            <w:r>
              <w:rPr>
                <w:sz w:val="18"/>
              </w:rPr>
              <w:t>2</w:t>
            </w:r>
          </w:p>
        </w:tc>
        <w:tc>
          <w:tcPr>
            <w:tcW w:type="dxa" w:w="1624"/>
          </w:tcPr>
          <w:p>
            <w:r/>
            <w:r>
              <w:rPr>
                <w:sz w:val="18"/>
              </w:rPr>
              <w:t>0</w:t>
            </w:r>
          </w:p>
        </w:tc>
        <w:tc>
          <w:tcPr>
            <w:tcW w:type="dxa" w:w="1624"/>
          </w:tcPr>
          <w:p>
            <w:r/>
            <w:r>
              <w:rPr>
                <w:sz w:val="18"/>
              </w:rPr>
              <w:t>1</w:t>
            </w:r>
          </w:p>
        </w:tc>
        <w:tc>
          <w:tcPr>
            <w:tcW w:type="dxa" w:w="1624"/>
          </w:tcPr>
          <w:p>
            <w:r/>
            <w:r>
              <w:rPr>
                <w:sz w:val="18"/>
              </w:rPr>
              <w:t>140</w:t>
            </w:r>
          </w:p>
        </w:tc>
      </w:tr>
      <w:tr>
        <w:tc>
          <w:tcPr>
            <w:tcW w:type="dxa" w:w="1624"/>
          </w:tcPr>
          <w:p>
            <w:r/>
            <w:r>
              <w:rPr>
                <w:sz w:val="18"/>
              </w:rPr>
              <w:t>Direction administrative et financière</w:t>
            </w:r>
          </w:p>
        </w:tc>
        <w:tc>
          <w:tcPr>
            <w:tcW w:type="dxa" w:w="1624"/>
          </w:tcPr>
          <w:p>
            <w:r/>
            <w:r>
              <w:rPr>
                <w:sz w:val="18"/>
              </w:rPr>
              <w:t>3</w:t>
            </w:r>
          </w:p>
        </w:tc>
        <w:tc>
          <w:tcPr>
            <w:tcW w:type="dxa" w:w="1624"/>
          </w:tcPr>
          <w:p>
            <w:r/>
            <w:r>
              <w:rPr>
                <w:sz w:val="18"/>
              </w:rPr>
              <w:t>1</w:t>
            </w:r>
          </w:p>
        </w:tc>
        <w:tc>
          <w:tcPr>
            <w:tcW w:type="dxa" w:w="1624"/>
          </w:tcPr>
          <w:p>
            <w:r/>
            <w:r>
              <w:rPr>
                <w:sz w:val="18"/>
              </w:rPr>
              <w:t>1</w:t>
            </w:r>
          </w:p>
        </w:tc>
        <w:tc>
          <w:tcPr>
            <w:tcW w:type="dxa" w:w="1624"/>
          </w:tcPr>
          <w:p>
            <w:r/>
            <w:r>
              <w:rPr>
                <w:sz w:val="18"/>
              </w:rPr>
              <w:t>1</w:t>
            </w:r>
          </w:p>
        </w:tc>
        <w:tc>
          <w:tcPr>
            <w:tcW w:type="dxa" w:w="1624"/>
          </w:tcPr>
          <w:p>
            <w:r/>
            <w:r>
              <w:rPr>
                <w:sz w:val="18"/>
              </w:rPr>
              <w:t>90</w:t>
            </w:r>
          </w:p>
        </w:tc>
      </w:tr>
      <w:tr>
        <w:tc>
          <w:tcPr>
            <w:tcW w:type="dxa" w:w="1624"/>
          </w:tcPr>
          <w:p>
            <w:r/>
            <w:r>
              <w:rPr>
                <w:sz w:val="18"/>
              </w:rPr>
              <w:t>Services généraux</w:t>
            </w:r>
          </w:p>
        </w:tc>
        <w:tc>
          <w:tcPr>
            <w:tcW w:type="dxa" w:w="1624"/>
          </w:tcPr>
          <w:p>
            <w:r/>
            <w:r>
              <w:rPr>
                <w:sz w:val="18"/>
              </w:rPr>
              <w:t>2</w:t>
            </w:r>
          </w:p>
        </w:tc>
        <w:tc>
          <w:tcPr>
            <w:tcW w:type="dxa" w:w="1624"/>
          </w:tcPr>
          <w:p>
            <w:r/>
            <w:r>
              <w:rPr>
                <w:sz w:val="18"/>
              </w:rPr>
              <w:t>1</w:t>
            </w:r>
          </w:p>
        </w:tc>
        <w:tc>
          <w:tcPr>
            <w:tcW w:type="dxa" w:w="1624"/>
          </w:tcPr>
          <w:p>
            <w:r/>
            <w:r>
              <w:rPr>
                <w:sz w:val="18"/>
              </w:rPr>
              <w:t>0</w:t>
            </w:r>
          </w:p>
        </w:tc>
        <w:tc>
          <w:tcPr>
            <w:tcW w:type="dxa" w:w="1624"/>
          </w:tcPr>
          <w:p>
            <w:r/>
            <w:r>
              <w:rPr>
                <w:sz w:val="18"/>
              </w:rPr>
              <w:t>1</w:t>
            </w:r>
          </w:p>
        </w:tc>
        <w:tc>
          <w:tcPr>
            <w:tcW w:type="dxa" w:w="1624"/>
          </w:tcPr>
          <w:p>
            <w:r/>
            <w:r>
              <w:rPr>
                <w:sz w:val="18"/>
              </w:rPr>
              <w:t>60</w:t>
            </w:r>
          </w:p>
        </w:tc>
      </w:tr>
      <w:tr>
        <w:tc>
          <w:tcPr>
            <w:tcW w:type="dxa" w:w="1624"/>
          </w:tcPr>
          <w:p>
            <w:r/>
            <w:r>
              <w:rPr>
                <w:sz w:val="18"/>
              </w:rPr>
              <w:t>Total</w:t>
            </w:r>
          </w:p>
        </w:tc>
        <w:tc>
          <w:tcPr>
            <w:tcW w:type="dxa" w:w="1624"/>
          </w:tcPr>
          <w:p>
            <w:r/>
            <w:r>
              <w:rPr>
                <w:sz w:val="18"/>
              </w:rPr>
              <w:t>58</w:t>
            </w:r>
          </w:p>
        </w:tc>
        <w:tc>
          <w:tcPr>
            <w:tcW w:type="dxa" w:w="1624"/>
          </w:tcPr>
          <w:p>
            <w:r/>
            <w:r>
              <w:rPr>
                <w:sz w:val="18"/>
              </w:rPr>
              <w:t>42</w:t>
            </w:r>
          </w:p>
        </w:tc>
        <w:tc>
          <w:tcPr>
            <w:tcW w:type="dxa" w:w="1624"/>
          </w:tcPr>
          <w:p>
            <w:r/>
            <w:r>
              <w:rPr>
                <w:sz w:val="18"/>
              </w:rPr>
              <w:t>9</w:t>
            </w:r>
          </w:p>
        </w:tc>
        <w:tc>
          <w:tcPr>
            <w:tcW w:type="dxa" w:w="1624"/>
          </w:tcPr>
          <w:p>
            <w:r/>
            <w:r>
              <w:rPr>
                <w:sz w:val="18"/>
              </w:rPr>
              <w:t>7</w:t>
            </w:r>
          </w:p>
        </w:tc>
        <w:tc>
          <w:tcPr>
            <w:tcW w:type="dxa" w:w="1624"/>
          </w:tcPr>
          <w:p>
            <w:r/>
            <w:r>
              <w:rPr>
                <w:sz w:val="18"/>
              </w:rPr>
              <w:t>3 600</w:t>
            </w:r>
          </w:p>
        </w:tc>
      </w:tr>
    </w:tbl>
    <w:p/>
    <w:p>
      <w:r>
        <w:br w:type="page"/>
      </w:r>
    </w:p>
    <w:p>
      <w:pPr>
        <w:pStyle w:val="Heading1"/>
      </w:pPr>
      <w:r>
        <w:rPr>
          <w:color w:val="4A4A4A"/>
        </w:rPr>
        <w:t>6. Arbitrage 3 — Budget d'acquisition marketing</w:t>
      </w:r>
    </w:p>
    <w:p>
      <w:r>
        <w:rPr>
          <w:i/>
          <w:color w:val="555555"/>
        </w:rPr>
        <w:t>Demande de 14,9 MEUR contre 13,2 MEUR au cadrage, dans un contexte d'amélioration de l'efficacité des canaux organiques.</w:t>
      </w:r>
    </w:p>
    <w:p>
      <w:r>
        <w:t>La directrice commerciale, représentant le directeur marketing excusé, présente une demande de 14,9 MEUR répartie entre 6,2 MEUR d'acquisition payante, 3,4 MEUR de contenu et référencement naturel, 2,8 MEUR d'événementiel et salons, 1,6 MEUR d'outillage et de données, et 0,9 MEUR de communication institutionnelle. La progression demandée de 12,9 % est justifiée par l'objectif de croissance et par l'ouverture de deux nouveaux marchés géographiques.</w:t>
      </w:r>
    </w:p>
    <w:p>
      <w:r>
        <w:t>Le directeur administratif et financier présente l'analyse d'efficacité par canal réalisée par le contrôle de gestion. Elle établit que le coût par lead qualifié des canaux payants généralistes a progressé de 34 % en deux ans, tandis que celui des canaux organiques a diminué de 18 %. La part des embauches de clients issue des canaux organiques est passée de 31 % à 44 %. Cette évolution suggère un rendement décroissant de l'acquisition payante et milite pour une réallocation plutôt que pour une augmentation globale.</w:t>
      </w:r>
    </w:p>
    <w:p>
      <w:r>
        <w:t>La directrice générale arbitre l'enveloppe à 13,6 MEUR, soit une progression de 3,0 % nettement inférieure à celle du chiffre d'affaires, avec une réallocation interne significative. L'acquisition payante est réduite de 6,2 à 4,9 MEUR, le contenu et le référencement naturel portés de 3,4 à 4,3 MEUR, et l'enveloppe événementielle réduite de 2,8 à 2,2 MEUR avec une concentration sur les quatre salons dont le retour est documenté. L'enveloppe d'outillage est maintenue, la qualité de la mesure conditionnant la capacité même à conduire ce type d'arbitrage.</w:t>
      </w:r>
    </w:p>
    <w:p>
      <w:r>
        <w:t>Il est demandé au directeur marketing de produire pour le comité de septembre une analyse de l'attribution multi-touches permettant de mesurer la contribution réelle de chaque canal au parcours d'acquisition, l'analyse actuelle par dernier point de contact étant reconnue comme structurellement défavorable aux canaux amont de notoriété.</w:t>
      </w:r>
    </w:p>
    <w:p>
      <w:pPr>
        <w:pStyle w:val="Heading2"/>
      </w:pPr>
      <w:r>
        <w:t>Arbitrage sur le budget marketing</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4A4A4A"/>
          </w:tcPr>
          <w:p>
            <w:r/>
            <w:r>
              <w:rPr>
                <w:b/>
                <w:color w:val="FFFFFF"/>
                <w:sz w:val="18"/>
              </w:rPr>
              <w:t>Poste</w:t>
            </w:r>
          </w:p>
        </w:tc>
        <w:tc>
          <w:tcPr>
            <w:tcW w:type="dxa" w:w="1949"/>
            <w:shd w:val="clear" w:color="auto" w:fill="4A4A4A"/>
          </w:tcPr>
          <w:p>
            <w:r/>
            <w:r>
              <w:rPr>
                <w:b/>
                <w:color w:val="FFFFFF"/>
                <w:sz w:val="18"/>
              </w:rPr>
              <w:t>Réalisé 2026</w:t>
            </w:r>
          </w:p>
        </w:tc>
        <w:tc>
          <w:tcPr>
            <w:tcW w:type="dxa" w:w="1949"/>
            <w:shd w:val="clear" w:color="auto" w:fill="4A4A4A"/>
          </w:tcPr>
          <w:p>
            <w:r/>
            <w:r>
              <w:rPr>
                <w:b/>
                <w:color w:val="FFFFFF"/>
                <w:sz w:val="18"/>
              </w:rPr>
              <w:t>Demandé 2027</w:t>
            </w:r>
          </w:p>
        </w:tc>
        <w:tc>
          <w:tcPr>
            <w:tcW w:type="dxa" w:w="1949"/>
            <w:shd w:val="clear" w:color="auto" w:fill="4A4A4A"/>
          </w:tcPr>
          <w:p>
            <w:r/>
            <w:r>
              <w:rPr>
                <w:b/>
                <w:color w:val="FFFFFF"/>
                <w:sz w:val="18"/>
              </w:rPr>
              <w:t>Arbitré</w:t>
            </w:r>
          </w:p>
        </w:tc>
        <w:tc>
          <w:tcPr>
            <w:tcW w:type="dxa" w:w="1949"/>
            <w:shd w:val="clear" w:color="auto" w:fill="4A4A4A"/>
          </w:tcPr>
          <w:p>
            <w:r/>
            <w:r>
              <w:rPr>
                <w:b/>
                <w:color w:val="FFFFFF"/>
                <w:sz w:val="18"/>
              </w:rPr>
              <w:t>Variation</w:t>
            </w:r>
          </w:p>
        </w:tc>
      </w:tr>
      <w:tr>
        <w:tc>
          <w:tcPr>
            <w:tcW w:type="dxa" w:w="1949"/>
          </w:tcPr>
          <w:p>
            <w:r/>
            <w:r>
              <w:rPr>
                <w:sz w:val="18"/>
              </w:rPr>
              <w:t>Acquisition payante</w:t>
            </w:r>
          </w:p>
        </w:tc>
        <w:tc>
          <w:tcPr>
            <w:tcW w:type="dxa" w:w="1949"/>
          </w:tcPr>
          <w:p>
            <w:r/>
            <w:r>
              <w:rPr>
                <w:sz w:val="18"/>
              </w:rPr>
              <w:t>5 900</w:t>
            </w:r>
          </w:p>
        </w:tc>
        <w:tc>
          <w:tcPr>
            <w:tcW w:type="dxa" w:w="1949"/>
          </w:tcPr>
          <w:p>
            <w:r/>
            <w:r>
              <w:rPr>
                <w:sz w:val="18"/>
              </w:rPr>
              <w:t>6 200</w:t>
            </w:r>
          </w:p>
        </w:tc>
        <w:tc>
          <w:tcPr>
            <w:tcW w:type="dxa" w:w="1949"/>
          </w:tcPr>
          <w:p>
            <w:r/>
            <w:r>
              <w:rPr>
                <w:sz w:val="18"/>
              </w:rPr>
              <w:t>4 900</w:t>
            </w:r>
          </w:p>
        </w:tc>
        <w:tc>
          <w:tcPr>
            <w:tcW w:type="dxa" w:w="1949"/>
          </w:tcPr>
          <w:p>
            <w:r/>
            <w:r>
              <w:rPr>
                <w:sz w:val="18"/>
              </w:rPr>
              <w:t>-16,9 %</w:t>
            </w:r>
          </w:p>
        </w:tc>
      </w:tr>
      <w:tr>
        <w:tc>
          <w:tcPr>
            <w:tcW w:type="dxa" w:w="1949"/>
          </w:tcPr>
          <w:p>
            <w:r/>
            <w:r>
              <w:rPr>
                <w:sz w:val="18"/>
              </w:rPr>
              <w:t>Contenu et référencement naturel</w:t>
            </w:r>
          </w:p>
        </w:tc>
        <w:tc>
          <w:tcPr>
            <w:tcW w:type="dxa" w:w="1949"/>
          </w:tcPr>
          <w:p>
            <w:r/>
            <w:r>
              <w:rPr>
                <w:sz w:val="18"/>
              </w:rPr>
              <w:t>2 900</w:t>
            </w:r>
          </w:p>
        </w:tc>
        <w:tc>
          <w:tcPr>
            <w:tcW w:type="dxa" w:w="1949"/>
          </w:tcPr>
          <w:p>
            <w:r/>
            <w:r>
              <w:rPr>
                <w:sz w:val="18"/>
              </w:rPr>
              <w:t>3 400</w:t>
            </w:r>
          </w:p>
        </w:tc>
        <w:tc>
          <w:tcPr>
            <w:tcW w:type="dxa" w:w="1949"/>
          </w:tcPr>
          <w:p>
            <w:r/>
            <w:r>
              <w:rPr>
                <w:sz w:val="18"/>
              </w:rPr>
              <w:t>4 300</w:t>
            </w:r>
          </w:p>
        </w:tc>
        <w:tc>
          <w:tcPr>
            <w:tcW w:type="dxa" w:w="1949"/>
          </w:tcPr>
          <w:p>
            <w:r/>
            <w:r>
              <w:rPr>
                <w:sz w:val="18"/>
              </w:rPr>
              <w:t>+48,3 %</w:t>
            </w:r>
          </w:p>
        </w:tc>
      </w:tr>
      <w:tr>
        <w:tc>
          <w:tcPr>
            <w:tcW w:type="dxa" w:w="1949"/>
          </w:tcPr>
          <w:p>
            <w:r/>
            <w:r>
              <w:rPr>
                <w:sz w:val="18"/>
              </w:rPr>
              <w:t>Événementiel et salons</w:t>
            </w:r>
          </w:p>
        </w:tc>
        <w:tc>
          <w:tcPr>
            <w:tcW w:type="dxa" w:w="1949"/>
          </w:tcPr>
          <w:p>
            <w:r/>
            <w:r>
              <w:rPr>
                <w:sz w:val="18"/>
              </w:rPr>
              <w:t>2 600</w:t>
            </w:r>
          </w:p>
        </w:tc>
        <w:tc>
          <w:tcPr>
            <w:tcW w:type="dxa" w:w="1949"/>
          </w:tcPr>
          <w:p>
            <w:r/>
            <w:r>
              <w:rPr>
                <w:sz w:val="18"/>
              </w:rPr>
              <w:t>2 800</w:t>
            </w:r>
          </w:p>
        </w:tc>
        <w:tc>
          <w:tcPr>
            <w:tcW w:type="dxa" w:w="1949"/>
          </w:tcPr>
          <w:p>
            <w:r/>
            <w:r>
              <w:rPr>
                <w:sz w:val="18"/>
              </w:rPr>
              <w:t>2 200</w:t>
            </w:r>
          </w:p>
        </w:tc>
        <w:tc>
          <w:tcPr>
            <w:tcW w:type="dxa" w:w="1949"/>
          </w:tcPr>
          <w:p>
            <w:r/>
            <w:r>
              <w:rPr>
                <w:sz w:val="18"/>
              </w:rPr>
              <w:t>-15,4 %</w:t>
            </w:r>
          </w:p>
        </w:tc>
      </w:tr>
      <w:tr>
        <w:tc>
          <w:tcPr>
            <w:tcW w:type="dxa" w:w="1949"/>
          </w:tcPr>
          <w:p>
            <w:r/>
            <w:r>
              <w:rPr>
                <w:sz w:val="18"/>
              </w:rPr>
              <w:t>Outillage et données</w:t>
            </w:r>
          </w:p>
        </w:tc>
        <w:tc>
          <w:tcPr>
            <w:tcW w:type="dxa" w:w="1949"/>
          </w:tcPr>
          <w:p>
            <w:r/>
            <w:r>
              <w:rPr>
                <w:sz w:val="18"/>
              </w:rPr>
              <w:t>1 400</w:t>
            </w:r>
          </w:p>
        </w:tc>
        <w:tc>
          <w:tcPr>
            <w:tcW w:type="dxa" w:w="1949"/>
          </w:tcPr>
          <w:p>
            <w:r/>
            <w:r>
              <w:rPr>
                <w:sz w:val="18"/>
              </w:rPr>
              <w:t>1 600</w:t>
            </w:r>
          </w:p>
        </w:tc>
        <w:tc>
          <w:tcPr>
            <w:tcW w:type="dxa" w:w="1949"/>
          </w:tcPr>
          <w:p>
            <w:r/>
            <w:r>
              <w:rPr>
                <w:sz w:val="18"/>
              </w:rPr>
              <w:t>1 600</w:t>
            </w:r>
          </w:p>
        </w:tc>
        <w:tc>
          <w:tcPr>
            <w:tcW w:type="dxa" w:w="1949"/>
          </w:tcPr>
          <w:p>
            <w:r/>
            <w:r>
              <w:rPr>
                <w:sz w:val="18"/>
              </w:rPr>
              <w:t>+14,3 %</w:t>
            </w:r>
          </w:p>
        </w:tc>
      </w:tr>
      <w:tr>
        <w:tc>
          <w:tcPr>
            <w:tcW w:type="dxa" w:w="1949"/>
          </w:tcPr>
          <w:p>
            <w:r/>
            <w:r>
              <w:rPr>
                <w:sz w:val="18"/>
              </w:rPr>
              <w:t>Communication institutionnelle</w:t>
            </w:r>
          </w:p>
        </w:tc>
        <w:tc>
          <w:tcPr>
            <w:tcW w:type="dxa" w:w="1949"/>
          </w:tcPr>
          <w:p>
            <w:r/>
            <w:r>
              <w:rPr>
                <w:sz w:val="18"/>
              </w:rPr>
              <w:t>400</w:t>
            </w:r>
          </w:p>
        </w:tc>
        <w:tc>
          <w:tcPr>
            <w:tcW w:type="dxa" w:w="1949"/>
          </w:tcPr>
          <w:p>
            <w:r/>
            <w:r>
              <w:rPr>
                <w:sz w:val="18"/>
              </w:rPr>
              <w:t>900</w:t>
            </w:r>
          </w:p>
        </w:tc>
        <w:tc>
          <w:tcPr>
            <w:tcW w:type="dxa" w:w="1949"/>
          </w:tcPr>
          <w:p>
            <w:r/>
            <w:r>
              <w:rPr>
                <w:sz w:val="18"/>
              </w:rPr>
              <w:t>600</w:t>
            </w:r>
          </w:p>
        </w:tc>
        <w:tc>
          <w:tcPr>
            <w:tcW w:type="dxa" w:w="1949"/>
          </w:tcPr>
          <w:p>
            <w:r/>
            <w:r>
              <w:rPr>
                <w:sz w:val="18"/>
              </w:rPr>
              <w:t>+50,0 %</w:t>
            </w:r>
          </w:p>
        </w:tc>
      </w:tr>
      <w:tr>
        <w:tc>
          <w:tcPr>
            <w:tcW w:type="dxa" w:w="1949"/>
          </w:tcPr>
          <w:p>
            <w:r/>
            <w:r>
              <w:rPr>
                <w:sz w:val="18"/>
              </w:rPr>
              <w:t>Total</w:t>
            </w:r>
          </w:p>
        </w:tc>
        <w:tc>
          <w:tcPr>
            <w:tcW w:type="dxa" w:w="1949"/>
          </w:tcPr>
          <w:p>
            <w:r/>
            <w:r>
              <w:rPr>
                <w:sz w:val="18"/>
              </w:rPr>
              <w:t>13 200</w:t>
            </w:r>
          </w:p>
        </w:tc>
        <w:tc>
          <w:tcPr>
            <w:tcW w:type="dxa" w:w="1949"/>
          </w:tcPr>
          <w:p>
            <w:r/>
            <w:r>
              <w:rPr>
                <w:sz w:val="18"/>
              </w:rPr>
              <w:t>14 900</w:t>
            </w:r>
          </w:p>
        </w:tc>
        <w:tc>
          <w:tcPr>
            <w:tcW w:type="dxa" w:w="1949"/>
          </w:tcPr>
          <w:p>
            <w:r/>
            <w:r>
              <w:rPr>
                <w:sz w:val="18"/>
              </w:rPr>
              <w:t>13 600</w:t>
            </w:r>
          </w:p>
        </w:tc>
        <w:tc>
          <w:tcPr>
            <w:tcW w:type="dxa" w:w="1949"/>
          </w:tcPr>
          <w:p>
            <w:r/>
            <w:r>
              <w:rPr>
                <w:sz w:val="18"/>
              </w:rPr>
              <w:t>+3,0 %</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L'analyse par dernier point de contact sous-évalue systématiquement les canaux de notoriété. L'arbitrage retenu sera réexaminé en septembre sur la base d'une attribution multi-touches.</w:t>
            </w:r>
          </w:p>
        </w:tc>
      </w:tr>
    </w:tbl>
    <w:p/>
    <w:p>
      <w:r>
        <w:br w:type="page"/>
      </w:r>
    </w:p>
    <w:p>
      <w:pPr>
        <w:pStyle w:val="Heading1"/>
      </w:pPr>
      <w:r>
        <w:rPr>
          <w:color w:val="4A4A4A"/>
        </w:rPr>
        <w:t>7. Arbitrage 4 — Investissements immobiliers et matériels</w:t>
      </w:r>
    </w:p>
    <w:p>
      <w:r>
        <w:rPr>
          <w:i/>
          <w:color w:val="555555"/>
        </w:rPr>
        <w:t>Report du projet de réaménagement du siège, maintien des investissements matériels critiques.</w:t>
      </w:r>
    </w:p>
    <w:p>
      <w:r>
        <w:t>Le responsable des services généraux, invité pour ce point, présente une demande d'investissement de 4,8 MEUR comprenant 2,9 MEUR de réaménagement du siège, 1,1 MEUR de renouvellement du parc informatique et 0,8 MEUR de mise à niveau des installations techniques, dont la reprise du réseau de plomberie du bâtiment B identifiée comme critique par l'audit hydraulique de mai.</w:t>
      </w:r>
    </w:p>
    <w:p>
      <w:r>
        <w:t>Le projet de réaménagement du siège, qui vise à adapter les espaces à l'organisation hybride en réduisant le nombre de postes fixes au profit d'espaces collaboratifs, fait l'objet d'un débat nourri. La directrice des ressources humaines soutient le projet en faisant valoir que le taux d'occupation moyen des postes de travail, mesuré à 54 % depuis la généralisation du télétravail, justifie une reconfiguration et permettrait à terme de libérer un plateau entier. Le directeur administratif et financier objecte que l'économie de loyer ne se matérialiserait qu'en 2029, à l'échéance du bail.</w:t>
      </w:r>
    </w:p>
    <w:p>
      <w:r>
        <w:t>La directrice générale décide de reporter le projet de réaménagement à l'exercice 2028, tout en demandant qu'une étude de faisabilité détaillée soit conduite en 2027 sur une enveloppe de 0,2 MEUR, afin que la décision de 2028 s'appuie sur un chiffrage ferme et une analyse d'impact sur les conditions de travail. Elle souligne que le report d'un projet dont le retour sur investissement est réel mais différé constitue un arbitrage de trésorerie et non un abandon, et demande que cette distinction soit clairement documentée.</w:t>
      </w:r>
    </w:p>
    <w:p>
      <w:r>
        <w:t>Les investissements techniques critiques sont en revanche intégralement maintenus. La reprise du réseau de plomberie du bâtiment B, chiffrée à 312 kEUR sur douze mois par l'audit, est validée sans discussion, la directrice générale rappelant qu'il ne s'agit pas d'un choix d'investissement mais du renouvellement d'un réseau en fin de vie dont la défaillance est certaine. Le renouvellement du parc informatique est maintenu à 1,1 MEUR, correspondant au remplacement des postes de plus de cinq ans.</w:t>
      </w:r>
    </w:p>
    <w:p>
      <w:pPr>
        <w:pStyle w:val="Heading2"/>
      </w:pPr>
      <w:r>
        <w:t>Arbitrage sur les investissements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4A4A4A"/>
          </w:tcPr>
          <w:p>
            <w:r/>
            <w:r>
              <w:rPr>
                <w:b/>
                <w:color w:val="FFFFFF"/>
                <w:sz w:val="18"/>
              </w:rPr>
              <w:t>Projet</w:t>
            </w:r>
          </w:p>
        </w:tc>
        <w:tc>
          <w:tcPr>
            <w:tcW w:type="dxa" w:w="1949"/>
            <w:shd w:val="clear" w:color="auto" w:fill="4A4A4A"/>
          </w:tcPr>
          <w:p>
            <w:r/>
            <w:r>
              <w:rPr>
                <w:b/>
                <w:color w:val="FFFFFF"/>
                <w:sz w:val="18"/>
              </w:rPr>
              <w:t>Demandé</w:t>
            </w:r>
          </w:p>
        </w:tc>
        <w:tc>
          <w:tcPr>
            <w:tcW w:type="dxa" w:w="1949"/>
            <w:shd w:val="clear" w:color="auto" w:fill="4A4A4A"/>
          </w:tcPr>
          <w:p>
            <w:r/>
            <w:r>
              <w:rPr>
                <w:b/>
                <w:color w:val="FFFFFF"/>
                <w:sz w:val="18"/>
              </w:rPr>
              <w:t>Arbitré</w:t>
            </w:r>
          </w:p>
        </w:tc>
        <w:tc>
          <w:tcPr>
            <w:tcW w:type="dxa" w:w="1949"/>
            <w:shd w:val="clear" w:color="auto" w:fill="4A4A4A"/>
          </w:tcPr>
          <w:p>
            <w:r/>
            <w:r>
              <w:rPr>
                <w:b/>
                <w:color w:val="FFFFFF"/>
                <w:sz w:val="18"/>
              </w:rPr>
              <w:t>Décision</w:t>
            </w:r>
          </w:p>
        </w:tc>
        <w:tc>
          <w:tcPr>
            <w:tcW w:type="dxa" w:w="1949"/>
            <w:shd w:val="clear" w:color="auto" w:fill="4A4A4A"/>
          </w:tcPr>
          <w:p>
            <w:r/>
            <w:r>
              <w:rPr>
                <w:b/>
                <w:color w:val="FFFFFF"/>
                <w:sz w:val="18"/>
              </w:rPr>
              <w:t>Échéance</w:t>
            </w:r>
          </w:p>
        </w:tc>
      </w:tr>
      <w:tr>
        <w:tc>
          <w:tcPr>
            <w:tcW w:type="dxa" w:w="1949"/>
          </w:tcPr>
          <w:p>
            <w:r/>
            <w:r>
              <w:rPr>
                <w:sz w:val="18"/>
              </w:rPr>
              <w:t>Réaménagement du siège</w:t>
            </w:r>
          </w:p>
        </w:tc>
        <w:tc>
          <w:tcPr>
            <w:tcW w:type="dxa" w:w="1949"/>
          </w:tcPr>
          <w:p>
            <w:r/>
            <w:r>
              <w:rPr>
                <w:sz w:val="18"/>
              </w:rPr>
              <w:t>2 900</w:t>
            </w:r>
          </w:p>
        </w:tc>
        <w:tc>
          <w:tcPr>
            <w:tcW w:type="dxa" w:w="1949"/>
          </w:tcPr>
          <w:p>
            <w:r/>
            <w:r>
              <w:rPr>
                <w:sz w:val="18"/>
              </w:rPr>
              <w:t>200</w:t>
            </w:r>
          </w:p>
        </w:tc>
        <w:tc>
          <w:tcPr>
            <w:tcW w:type="dxa" w:w="1949"/>
          </w:tcPr>
          <w:p>
            <w:r/>
            <w:r>
              <w:rPr>
                <w:sz w:val="18"/>
              </w:rPr>
              <w:t>Reporté, étude de faisabilité financée</w:t>
            </w:r>
          </w:p>
        </w:tc>
        <w:tc>
          <w:tcPr>
            <w:tcW w:type="dxa" w:w="1949"/>
          </w:tcPr>
          <w:p>
            <w:r/>
            <w:r>
              <w:rPr>
                <w:sz w:val="18"/>
              </w:rPr>
              <w:t>Décision 2028</w:t>
            </w:r>
          </w:p>
        </w:tc>
      </w:tr>
      <w:tr>
        <w:tc>
          <w:tcPr>
            <w:tcW w:type="dxa" w:w="1949"/>
          </w:tcPr>
          <w:p>
            <w:r/>
            <w:r>
              <w:rPr>
                <w:sz w:val="18"/>
              </w:rPr>
              <w:t>Renouvellement du parc informatique</w:t>
            </w:r>
          </w:p>
        </w:tc>
        <w:tc>
          <w:tcPr>
            <w:tcW w:type="dxa" w:w="1949"/>
          </w:tcPr>
          <w:p>
            <w:r/>
            <w:r>
              <w:rPr>
                <w:sz w:val="18"/>
              </w:rPr>
              <w:t>1 100</w:t>
            </w:r>
          </w:p>
        </w:tc>
        <w:tc>
          <w:tcPr>
            <w:tcW w:type="dxa" w:w="1949"/>
          </w:tcPr>
          <w:p>
            <w:r/>
            <w:r>
              <w:rPr>
                <w:sz w:val="18"/>
              </w:rPr>
              <w:t>1 100</w:t>
            </w:r>
          </w:p>
        </w:tc>
        <w:tc>
          <w:tcPr>
            <w:tcW w:type="dxa" w:w="1949"/>
          </w:tcPr>
          <w:p>
            <w:r/>
            <w:r>
              <w:rPr>
                <w:sz w:val="18"/>
              </w:rPr>
              <w:t>Validé</w:t>
            </w:r>
          </w:p>
        </w:tc>
        <w:tc>
          <w:tcPr>
            <w:tcW w:type="dxa" w:w="1949"/>
          </w:tcPr>
          <w:p>
            <w:r/>
            <w:r>
              <w:rPr>
                <w:sz w:val="18"/>
              </w:rPr>
              <w:t>Étalé sur l'exercice</w:t>
            </w:r>
          </w:p>
        </w:tc>
      </w:tr>
      <w:tr>
        <w:tc>
          <w:tcPr>
            <w:tcW w:type="dxa" w:w="1949"/>
          </w:tcPr>
          <w:p>
            <w:r/>
            <w:r>
              <w:rPr>
                <w:sz w:val="18"/>
              </w:rPr>
              <w:t>Reprise du réseau de plomberie bâtiment B</w:t>
            </w:r>
          </w:p>
        </w:tc>
        <w:tc>
          <w:tcPr>
            <w:tcW w:type="dxa" w:w="1949"/>
          </w:tcPr>
          <w:p>
            <w:r/>
            <w:r>
              <w:rPr>
                <w:sz w:val="18"/>
              </w:rPr>
              <w:t>312</w:t>
            </w:r>
          </w:p>
        </w:tc>
        <w:tc>
          <w:tcPr>
            <w:tcW w:type="dxa" w:w="1949"/>
          </w:tcPr>
          <w:p>
            <w:r/>
            <w:r>
              <w:rPr>
                <w:sz w:val="18"/>
              </w:rPr>
              <w:t>312</w:t>
            </w:r>
          </w:p>
        </w:tc>
        <w:tc>
          <w:tcPr>
            <w:tcW w:type="dxa" w:w="1949"/>
          </w:tcPr>
          <w:p>
            <w:r/>
            <w:r>
              <w:rPr>
                <w:sz w:val="18"/>
              </w:rPr>
              <w:t>Validé sans réserve</w:t>
            </w:r>
          </w:p>
        </w:tc>
        <w:tc>
          <w:tcPr>
            <w:tcW w:type="dxa" w:w="1949"/>
          </w:tcPr>
          <w:p>
            <w:r/>
            <w:r>
              <w:rPr>
                <w:sz w:val="18"/>
              </w:rPr>
              <w:t>12 mois</w:t>
            </w:r>
          </w:p>
        </w:tc>
      </w:tr>
      <w:tr>
        <w:tc>
          <w:tcPr>
            <w:tcW w:type="dxa" w:w="1949"/>
          </w:tcPr>
          <w:p>
            <w:r/>
            <w:r>
              <w:rPr>
                <w:sz w:val="18"/>
              </w:rPr>
              <w:t>Réducteurs de pression et robinetterie</w:t>
            </w:r>
          </w:p>
        </w:tc>
        <w:tc>
          <w:tcPr>
            <w:tcW w:type="dxa" w:w="1949"/>
          </w:tcPr>
          <w:p>
            <w:r/>
            <w:r>
              <w:rPr>
                <w:sz w:val="18"/>
              </w:rPr>
              <w:t>57</w:t>
            </w:r>
          </w:p>
        </w:tc>
        <w:tc>
          <w:tcPr>
            <w:tcW w:type="dxa" w:w="1949"/>
          </w:tcPr>
          <w:p>
            <w:r/>
            <w:r>
              <w:rPr>
                <w:sz w:val="18"/>
              </w:rPr>
              <w:t>57</w:t>
            </w:r>
          </w:p>
        </w:tc>
        <w:tc>
          <w:tcPr>
            <w:tcW w:type="dxa" w:w="1949"/>
          </w:tcPr>
          <w:p>
            <w:r/>
            <w:r>
              <w:rPr>
                <w:sz w:val="18"/>
              </w:rPr>
              <w:t>Validé</w:t>
            </w:r>
          </w:p>
        </w:tc>
        <w:tc>
          <w:tcPr>
            <w:tcW w:type="dxa" w:w="1949"/>
          </w:tcPr>
          <w:p>
            <w:r/>
            <w:r>
              <w:rPr>
                <w:sz w:val="18"/>
              </w:rPr>
              <w:t>6 mois</w:t>
            </w:r>
          </w:p>
        </w:tc>
      </w:tr>
      <w:tr>
        <w:tc>
          <w:tcPr>
            <w:tcW w:type="dxa" w:w="1949"/>
          </w:tcPr>
          <w:p>
            <w:r/>
            <w:r>
              <w:rPr>
                <w:sz w:val="18"/>
              </w:rPr>
              <w:t>Mise à niveau des groupes frigorifiques</w:t>
            </w:r>
          </w:p>
        </w:tc>
        <w:tc>
          <w:tcPr>
            <w:tcW w:type="dxa" w:w="1949"/>
          </w:tcPr>
          <w:p>
            <w:r/>
            <w:r>
              <w:rPr>
                <w:sz w:val="18"/>
              </w:rPr>
              <w:t>180</w:t>
            </w:r>
          </w:p>
        </w:tc>
        <w:tc>
          <w:tcPr>
            <w:tcW w:type="dxa" w:w="1949"/>
          </w:tcPr>
          <w:p>
            <w:r/>
            <w:r>
              <w:rPr>
                <w:sz w:val="18"/>
              </w:rPr>
              <w:t>120</w:t>
            </w:r>
          </w:p>
        </w:tc>
        <w:tc>
          <w:tcPr>
            <w:tcW w:type="dxa" w:w="1949"/>
          </w:tcPr>
          <w:p>
            <w:r/>
            <w:r>
              <w:rPr>
                <w:sz w:val="18"/>
              </w:rPr>
              <w:t>Réduit, nettoyage sans remplacement</w:t>
            </w:r>
          </w:p>
        </w:tc>
        <w:tc>
          <w:tcPr>
            <w:tcW w:type="dxa" w:w="1949"/>
          </w:tcPr>
          <w:p>
            <w:r/>
            <w:r>
              <w:rPr>
                <w:sz w:val="18"/>
              </w:rPr>
              <w:t>9 mois</w:t>
            </w:r>
          </w:p>
        </w:tc>
      </w:tr>
      <w:tr>
        <w:tc>
          <w:tcPr>
            <w:tcW w:type="dxa" w:w="1949"/>
          </w:tcPr>
          <w:p>
            <w:r/>
            <w:r>
              <w:rPr>
                <w:sz w:val="18"/>
              </w:rPr>
              <w:t>Calorifugeage et sous-comptage</w:t>
            </w:r>
          </w:p>
        </w:tc>
        <w:tc>
          <w:tcPr>
            <w:tcW w:type="dxa" w:w="1949"/>
          </w:tcPr>
          <w:p>
            <w:r/>
            <w:r>
              <w:rPr>
                <w:sz w:val="18"/>
              </w:rPr>
              <w:t>53</w:t>
            </w:r>
          </w:p>
        </w:tc>
        <w:tc>
          <w:tcPr>
            <w:tcW w:type="dxa" w:w="1949"/>
          </w:tcPr>
          <w:p>
            <w:r/>
            <w:r>
              <w:rPr>
                <w:sz w:val="18"/>
              </w:rPr>
              <w:t>53</w:t>
            </w:r>
          </w:p>
        </w:tc>
        <w:tc>
          <w:tcPr>
            <w:tcW w:type="dxa" w:w="1949"/>
          </w:tcPr>
          <w:p>
            <w:r/>
            <w:r>
              <w:rPr>
                <w:sz w:val="18"/>
              </w:rPr>
              <w:t>Validé</w:t>
            </w:r>
          </w:p>
        </w:tc>
        <w:tc>
          <w:tcPr>
            <w:tcW w:type="dxa" w:w="1949"/>
          </w:tcPr>
          <w:p>
            <w:r/>
            <w:r>
              <w:rPr>
                <w:sz w:val="18"/>
              </w:rPr>
              <w:t>18 mois</w:t>
            </w:r>
          </w:p>
        </w:tc>
      </w:tr>
      <w:tr>
        <w:tc>
          <w:tcPr>
            <w:tcW w:type="dxa" w:w="1949"/>
          </w:tcPr>
          <w:p>
            <w:r/>
            <w:r>
              <w:rPr>
                <w:sz w:val="18"/>
              </w:rPr>
              <w:t>Sécurisation des accès physiques</w:t>
            </w:r>
          </w:p>
        </w:tc>
        <w:tc>
          <w:tcPr>
            <w:tcW w:type="dxa" w:w="1949"/>
          </w:tcPr>
          <w:p>
            <w:r/>
            <w:r>
              <w:rPr>
                <w:sz w:val="18"/>
              </w:rPr>
              <w:t>198</w:t>
            </w:r>
          </w:p>
        </w:tc>
        <w:tc>
          <w:tcPr>
            <w:tcW w:type="dxa" w:w="1949"/>
          </w:tcPr>
          <w:p>
            <w:r/>
            <w:r>
              <w:rPr>
                <w:sz w:val="18"/>
              </w:rPr>
              <w:t>198</w:t>
            </w:r>
          </w:p>
        </w:tc>
        <w:tc>
          <w:tcPr>
            <w:tcW w:type="dxa" w:w="1949"/>
          </w:tcPr>
          <w:p>
            <w:r/>
            <w:r>
              <w:rPr>
                <w:sz w:val="18"/>
              </w:rPr>
              <w:t>Validé</w:t>
            </w:r>
          </w:p>
        </w:tc>
        <w:tc>
          <w:tcPr>
            <w:tcW w:type="dxa" w:w="1949"/>
          </w:tcPr>
          <w:p>
            <w:r/>
            <w:r>
              <w:rPr>
                <w:sz w:val="18"/>
              </w:rPr>
              <w:t>6 mois</w:t>
            </w:r>
          </w:p>
        </w:tc>
      </w:tr>
      <w:tr>
        <w:tc>
          <w:tcPr>
            <w:tcW w:type="dxa" w:w="1949"/>
          </w:tcPr>
          <w:p>
            <w:r/>
            <w:r>
              <w:rPr>
                <w:sz w:val="18"/>
              </w:rPr>
              <w:t>Total</w:t>
            </w:r>
          </w:p>
        </w:tc>
        <w:tc>
          <w:tcPr>
            <w:tcW w:type="dxa" w:w="1949"/>
          </w:tcPr>
          <w:p>
            <w:r/>
            <w:r>
              <w:rPr>
                <w:sz w:val="18"/>
              </w:rPr>
              <w:t>4 800</w:t>
            </w:r>
          </w:p>
        </w:tc>
        <w:tc>
          <w:tcPr>
            <w:tcW w:type="dxa" w:w="1949"/>
          </w:tcPr>
          <w:p>
            <w:r/>
            <w:r>
              <w:rPr>
                <w:sz w:val="18"/>
              </w:rPr>
              <w:t>2 040</w:t>
            </w:r>
          </w:p>
        </w:tc>
        <w:tc>
          <w:tcPr>
            <w:tcW w:type="dxa" w:w="1949"/>
          </w:tcPr>
          <w:p>
            <w:r/>
            <w:r>
              <w:rPr>
                <w:sz w:val="18"/>
              </w:rPr>
              <w:t>—</w:t>
            </w:r>
          </w:p>
        </w:tc>
        <w:tc>
          <w:tcPr>
            <w:tcW w:type="dxa" w:w="1949"/>
          </w:tcPr>
          <w:p>
            <w:r/>
            <w:r>
              <w:rPr>
                <w:sz w:val="18"/>
              </w:rPr>
              <w:t>—</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Le report d'un investissement à retour différé est un arbitrage de trésorerie. Il doit être documenté comme tel et réexaminé, non oublié.</w:t>
            </w:r>
          </w:p>
        </w:tc>
      </w:tr>
    </w:tbl>
    <w:p/>
    <w:p>
      <w:r>
        <w:br w:type="page"/>
      </w:r>
    </w:p>
    <w:p>
      <w:pPr>
        <w:pStyle w:val="Heading1"/>
      </w:pPr>
      <w:r>
        <w:rPr>
          <w:color w:val="4A4A4A"/>
        </w:rPr>
        <w:t>8. Arbitrage 5 — Traitement de la dette technique</w:t>
      </w:r>
    </w:p>
    <w:p>
      <w:r>
        <w:rPr>
          <w:i/>
          <w:color w:val="555555"/>
        </w:rPr>
        <w:t>Un sujet sans retour visible à court terme, dont le report répété produit un coût croissant et diffus.</w:t>
      </w:r>
    </w:p>
    <w:p>
      <w:r>
        <w:t>Le directeur technique présente une demande spécifique de 2,4 MEUR consacrée au traitement de la dette technique, correspondant à environ 17 équivalents temps plein annuels. Il rappelle que la règle d'allocation interne prévoit d'y consacrer 20 % des capacités de développement, cible non atteinte depuis six trimestres consécutifs, la réalisation s'établissant à 16 % au troisième trimestre 2026 et à 14 % en moyenne sur l'année.</w:t>
      </w:r>
    </w:p>
    <w:p>
      <w:r>
        <w:t>Il présente trois indicateurs objectivant la dégradation. Le délai moyen de livraison d'une évolution de complexité standard est passé de 11 à 16 jours en dix-huit mois. Le taux de régression, mesuré par la part des livraisons nécessitant un correctif dans les sept jours, a progressé de 8 % à 14 %. Le temps consacré par les équipes au traitement d'incidents de production, temps non disponible pour le développement, représente désormais 21 % de la capacité contre 13 % il y a deux ans. Ces trois indicateurs convergent vers un même constat.</w:t>
      </w:r>
    </w:p>
    <w:p>
      <w:r>
        <w:t>Le débat porte sur la difficulté propre à ce type d'arbitrage. La directrice générale observe que la dette technique présente la caractéristique d'un coût invisible et diffus, réparti sur toutes les activités, alors que son traitement présente un coût visible et concentré. Cette asymétrie explique pourquoi elle perd systématiquement les arbitrages face à des projets à bénéfice identifiable, et pourquoi elle finit par s'imposer d'elle-même sous forme de dégradation générale de la capacité de livraison.</w:t>
      </w:r>
    </w:p>
    <w:p>
      <w:r>
        <w:t>L'enveloppe est arbitrée à 2,0 MEUR, avec une modification importante de la méthode : plutôt qu'un budget dédié susceptible d'être réalloué en cours d'exercice sous la pression des urgences, il est décidé de sanctuariser 18 % des capacités de développement dans le processus de planification trimestrielle. Le directeur technique rendra compte trimestriellement de la réalisation effective et des trois indicateurs de dégradation, dont l'inversion de tendance constitue l'objectif assigné pour la fin 2027.</w:t>
      </w:r>
    </w:p>
    <w:p>
      <w:pPr>
        <w:pStyle w:val="Heading2"/>
      </w:pPr>
      <w:r>
        <w:t>Indicateurs de dette technique et objectifs 2027</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4A4A4A"/>
          </w:tcPr>
          <w:p>
            <w:r/>
            <w:r>
              <w:rPr>
                <w:b/>
                <w:color w:val="FFFFFF"/>
                <w:sz w:val="18"/>
              </w:rPr>
              <w:t>Indicateur</w:t>
            </w:r>
          </w:p>
        </w:tc>
        <w:tc>
          <w:tcPr>
            <w:tcW w:type="dxa" w:w="1949"/>
            <w:shd w:val="clear" w:color="auto" w:fill="4A4A4A"/>
          </w:tcPr>
          <w:p>
            <w:r/>
            <w:r>
              <w:rPr>
                <w:b/>
                <w:color w:val="FFFFFF"/>
                <w:sz w:val="18"/>
              </w:rPr>
              <w:t>Il y a 2 ans</w:t>
            </w:r>
          </w:p>
        </w:tc>
        <w:tc>
          <w:tcPr>
            <w:tcW w:type="dxa" w:w="1949"/>
            <w:shd w:val="clear" w:color="auto" w:fill="4A4A4A"/>
          </w:tcPr>
          <w:p>
            <w:r/>
            <w:r>
              <w:rPr>
                <w:b/>
                <w:color w:val="FFFFFF"/>
                <w:sz w:val="18"/>
              </w:rPr>
              <w:t>Actuel</w:t>
            </w:r>
          </w:p>
        </w:tc>
        <w:tc>
          <w:tcPr>
            <w:tcW w:type="dxa" w:w="1949"/>
            <w:shd w:val="clear" w:color="auto" w:fill="4A4A4A"/>
          </w:tcPr>
          <w:p>
            <w:r/>
            <w:r>
              <w:rPr>
                <w:b/>
                <w:color w:val="FFFFFF"/>
                <w:sz w:val="18"/>
              </w:rPr>
              <w:t>Objectif fin 2027</w:t>
            </w:r>
          </w:p>
        </w:tc>
        <w:tc>
          <w:tcPr>
            <w:tcW w:type="dxa" w:w="1949"/>
            <w:shd w:val="clear" w:color="auto" w:fill="4A4A4A"/>
          </w:tcPr>
          <w:p>
            <w:r/>
            <w:r>
              <w:rPr>
                <w:b/>
                <w:color w:val="FFFFFF"/>
                <w:sz w:val="18"/>
              </w:rPr>
              <w:t>Tendance visée</w:t>
            </w:r>
          </w:p>
        </w:tc>
      </w:tr>
      <w:tr>
        <w:tc>
          <w:tcPr>
            <w:tcW w:type="dxa" w:w="1949"/>
          </w:tcPr>
          <w:p>
            <w:r/>
            <w:r>
              <w:rPr>
                <w:sz w:val="18"/>
              </w:rPr>
              <w:t>Délai de livraison d'une évolution standard</w:t>
            </w:r>
          </w:p>
        </w:tc>
        <w:tc>
          <w:tcPr>
            <w:tcW w:type="dxa" w:w="1949"/>
          </w:tcPr>
          <w:p>
            <w:r/>
            <w:r>
              <w:rPr>
                <w:sz w:val="18"/>
              </w:rPr>
              <w:t>11 jours</w:t>
            </w:r>
          </w:p>
        </w:tc>
        <w:tc>
          <w:tcPr>
            <w:tcW w:type="dxa" w:w="1949"/>
          </w:tcPr>
          <w:p>
            <w:r/>
            <w:r>
              <w:rPr>
                <w:sz w:val="18"/>
              </w:rPr>
              <w:t>16 jours</w:t>
            </w:r>
          </w:p>
        </w:tc>
        <w:tc>
          <w:tcPr>
            <w:tcW w:type="dxa" w:w="1949"/>
          </w:tcPr>
          <w:p>
            <w:r/>
            <w:r>
              <w:rPr>
                <w:sz w:val="18"/>
              </w:rPr>
              <w:t>13 jours</w:t>
            </w:r>
          </w:p>
        </w:tc>
        <w:tc>
          <w:tcPr>
            <w:tcW w:type="dxa" w:w="1949"/>
          </w:tcPr>
          <w:p>
            <w:r/>
            <w:r>
              <w:rPr>
                <w:sz w:val="18"/>
              </w:rPr>
              <w:t>Réduction</w:t>
            </w:r>
          </w:p>
        </w:tc>
      </w:tr>
      <w:tr>
        <w:tc>
          <w:tcPr>
            <w:tcW w:type="dxa" w:w="1949"/>
          </w:tcPr>
          <w:p>
            <w:r/>
            <w:r>
              <w:rPr>
                <w:sz w:val="18"/>
              </w:rPr>
              <w:t>Taux de régression à 7 jours</w:t>
            </w:r>
          </w:p>
        </w:tc>
        <w:tc>
          <w:tcPr>
            <w:tcW w:type="dxa" w:w="1949"/>
          </w:tcPr>
          <w:p>
            <w:r/>
            <w:r>
              <w:rPr>
                <w:sz w:val="18"/>
              </w:rPr>
              <w:t>8 %</w:t>
            </w:r>
          </w:p>
        </w:tc>
        <w:tc>
          <w:tcPr>
            <w:tcW w:type="dxa" w:w="1949"/>
          </w:tcPr>
          <w:p>
            <w:r/>
            <w:r>
              <w:rPr>
                <w:sz w:val="18"/>
              </w:rPr>
              <w:t>14 %</w:t>
            </w:r>
          </w:p>
        </w:tc>
        <w:tc>
          <w:tcPr>
            <w:tcW w:type="dxa" w:w="1949"/>
          </w:tcPr>
          <w:p>
            <w:r/>
            <w:r>
              <w:rPr>
                <w:sz w:val="18"/>
              </w:rPr>
              <w:t>10 %</w:t>
            </w:r>
          </w:p>
        </w:tc>
        <w:tc>
          <w:tcPr>
            <w:tcW w:type="dxa" w:w="1949"/>
          </w:tcPr>
          <w:p>
            <w:r/>
            <w:r>
              <w:rPr>
                <w:sz w:val="18"/>
              </w:rPr>
              <w:t>Réduction</w:t>
            </w:r>
          </w:p>
        </w:tc>
      </w:tr>
      <w:tr>
        <w:tc>
          <w:tcPr>
            <w:tcW w:type="dxa" w:w="1949"/>
          </w:tcPr>
          <w:p>
            <w:r/>
            <w:r>
              <w:rPr>
                <w:sz w:val="18"/>
              </w:rPr>
              <w:t>Capacité absorbée par les incidents</w:t>
            </w:r>
          </w:p>
        </w:tc>
        <w:tc>
          <w:tcPr>
            <w:tcW w:type="dxa" w:w="1949"/>
          </w:tcPr>
          <w:p>
            <w:r/>
            <w:r>
              <w:rPr>
                <w:sz w:val="18"/>
              </w:rPr>
              <w:t>13 %</w:t>
            </w:r>
          </w:p>
        </w:tc>
        <w:tc>
          <w:tcPr>
            <w:tcW w:type="dxa" w:w="1949"/>
          </w:tcPr>
          <w:p>
            <w:r/>
            <w:r>
              <w:rPr>
                <w:sz w:val="18"/>
              </w:rPr>
              <w:t>21 %</w:t>
            </w:r>
          </w:p>
        </w:tc>
        <w:tc>
          <w:tcPr>
            <w:tcW w:type="dxa" w:w="1949"/>
          </w:tcPr>
          <w:p>
            <w:r/>
            <w:r>
              <w:rPr>
                <w:sz w:val="18"/>
              </w:rPr>
              <w:t>16 %</w:t>
            </w:r>
          </w:p>
        </w:tc>
        <w:tc>
          <w:tcPr>
            <w:tcW w:type="dxa" w:w="1949"/>
          </w:tcPr>
          <w:p>
            <w:r/>
            <w:r>
              <w:rPr>
                <w:sz w:val="18"/>
              </w:rPr>
              <w:t>Réduction</w:t>
            </w:r>
          </w:p>
        </w:tc>
      </w:tr>
      <w:tr>
        <w:tc>
          <w:tcPr>
            <w:tcW w:type="dxa" w:w="1949"/>
          </w:tcPr>
          <w:p>
            <w:r/>
            <w:r>
              <w:rPr>
                <w:sz w:val="18"/>
              </w:rPr>
              <w:t>Part des capacités sur la dette technique</w:t>
            </w:r>
          </w:p>
        </w:tc>
        <w:tc>
          <w:tcPr>
            <w:tcW w:type="dxa" w:w="1949"/>
          </w:tcPr>
          <w:p>
            <w:r/>
            <w:r>
              <w:rPr>
                <w:sz w:val="18"/>
              </w:rPr>
              <w:t>20 %</w:t>
            </w:r>
          </w:p>
        </w:tc>
        <w:tc>
          <w:tcPr>
            <w:tcW w:type="dxa" w:w="1949"/>
          </w:tcPr>
          <w:p>
            <w:r/>
            <w:r>
              <w:rPr>
                <w:sz w:val="18"/>
              </w:rPr>
              <w:t>14 %</w:t>
            </w:r>
          </w:p>
        </w:tc>
        <w:tc>
          <w:tcPr>
            <w:tcW w:type="dxa" w:w="1949"/>
          </w:tcPr>
          <w:p>
            <w:r/>
            <w:r>
              <w:rPr>
                <w:sz w:val="18"/>
              </w:rPr>
              <w:t>18 %</w:t>
            </w:r>
          </w:p>
        </w:tc>
        <w:tc>
          <w:tcPr>
            <w:tcW w:type="dxa" w:w="1949"/>
          </w:tcPr>
          <w:p>
            <w:r/>
            <w:r>
              <w:rPr>
                <w:sz w:val="18"/>
              </w:rPr>
              <w:t>Augmentation</w:t>
            </w:r>
          </w:p>
        </w:tc>
      </w:tr>
      <w:tr>
        <w:tc>
          <w:tcPr>
            <w:tcW w:type="dxa" w:w="1949"/>
          </w:tcPr>
          <w:p>
            <w:r/>
            <w:r>
              <w:rPr>
                <w:sz w:val="18"/>
              </w:rPr>
              <w:t>Couverture de tests sur les modules critiques</w:t>
            </w:r>
          </w:p>
        </w:tc>
        <w:tc>
          <w:tcPr>
            <w:tcW w:type="dxa" w:w="1949"/>
          </w:tcPr>
          <w:p>
            <w:r/>
            <w:r>
              <w:rPr>
                <w:sz w:val="18"/>
              </w:rPr>
              <w:t>71 %</w:t>
            </w:r>
          </w:p>
        </w:tc>
        <w:tc>
          <w:tcPr>
            <w:tcW w:type="dxa" w:w="1949"/>
          </w:tcPr>
          <w:p>
            <w:r/>
            <w:r>
              <w:rPr>
                <w:sz w:val="18"/>
              </w:rPr>
              <w:t>64 %</w:t>
            </w:r>
          </w:p>
        </w:tc>
        <w:tc>
          <w:tcPr>
            <w:tcW w:type="dxa" w:w="1949"/>
          </w:tcPr>
          <w:p>
            <w:r/>
            <w:r>
              <w:rPr>
                <w:sz w:val="18"/>
              </w:rPr>
              <w:t>78 %</w:t>
            </w:r>
          </w:p>
        </w:tc>
        <w:tc>
          <w:tcPr>
            <w:tcW w:type="dxa" w:w="1949"/>
          </w:tcPr>
          <w:p>
            <w:r/>
            <w:r>
              <w:rPr>
                <w:sz w:val="18"/>
              </w:rPr>
              <w:t>Augmentation</w:t>
            </w:r>
          </w:p>
        </w:tc>
      </w:tr>
      <w:tr>
        <w:tc>
          <w:tcPr>
            <w:tcW w:type="dxa" w:w="1949"/>
          </w:tcPr>
          <w:p>
            <w:r/>
            <w:r>
              <w:rPr>
                <w:sz w:val="18"/>
              </w:rPr>
              <w:t>Composants en version non supportée</w:t>
            </w:r>
          </w:p>
        </w:tc>
        <w:tc>
          <w:tcPr>
            <w:tcW w:type="dxa" w:w="1949"/>
          </w:tcPr>
          <w:p>
            <w:r/>
            <w:r>
              <w:rPr>
                <w:sz w:val="18"/>
              </w:rPr>
              <w:t>4</w:t>
            </w:r>
          </w:p>
        </w:tc>
        <w:tc>
          <w:tcPr>
            <w:tcW w:type="dxa" w:w="1949"/>
          </w:tcPr>
          <w:p>
            <w:r/>
            <w:r>
              <w:rPr>
                <w:sz w:val="18"/>
              </w:rPr>
              <w:t>11</w:t>
            </w:r>
          </w:p>
        </w:tc>
        <w:tc>
          <w:tcPr>
            <w:tcW w:type="dxa" w:w="1949"/>
          </w:tcPr>
          <w:p>
            <w:r/>
            <w:r>
              <w:rPr>
                <w:sz w:val="18"/>
              </w:rPr>
              <w:t>3</w:t>
            </w:r>
          </w:p>
        </w:tc>
        <w:tc>
          <w:tcPr>
            <w:tcW w:type="dxa" w:w="1949"/>
          </w:tcPr>
          <w:p>
            <w:r/>
            <w:r>
              <w:rPr>
                <w:sz w:val="18"/>
              </w:rPr>
              <w:t>Réduction</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La sanctuarisation d'un pourcentage de capacité est préférée à un budget dédié : elle résiste mieux à la pression des urgences en cours d'exercice.</w:t>
            </w:r>
          </w:p>
        </w:tc>
      </w:tr>
    </w:tbl>
    <w:p/>
    <w:p>
      <w:r>
        <w:br w:type="page"/>
      </w:r>
    </w:p>
    <w:p>
      <w:pPr>
        <w:pStyle w:val="Heading1"/>
      </w:pPr>
      <w:r>
        <w:rPr>
          <w:color w:val="4A4A4A"/>
        </w:rPr>
        <w:t>9. Budget de formation et développement des compétences</w:t>
      </w:r>
    </w:p>
    <w:p>
      <w:r>
        <w:rPr>
          <w:i/>
          <w:color w:val="555555"/>
        </w:rPr>
        <w:t>Enveloppe maintenue en valeur relative, avec une réorientation vers les compétences en intelligence artificielle.</w:t>
      </w:r>
    </w:p>
    <w:p>
      <w:r>
        <w:t>La directrice des ressources humaines présente une demande de 1,9 MEUR, soit 2,4 % de la masse salariale, en progression par rapport aux 2,1 % de l'exercice en cours. Elle justifie cette progression par deux besoins : la montée en compétence sur les technologies d'intelligence artificielle, qui concerne désormais l'ensemble de la direction technique et non seulement l'équipe dédiée, et le renforcement de la formation des encadrants au management à distance, identifié comme un besoin prioritaire dans l'enquête de qualité de vie au travail.</w:t>
      </w:r>
    </w:p>
    <w:p>
      <w:r>
        <w:t>Le directeur administratif et financier observe que le taux de consommation effectif du budget formation s'établit historiquement à 84 % de l'enveloppe votée, ce qui relativise la portée de l'arbitrage. La directrice des ressources humaines confirme et explique cet écart par la difficulté à libérer les collaborateurs des équipes opérationnelles en période de charge, difficulté structurelle qui ne se résout pas par une augmentation de l'enveloppe.</w:t>
      </w:r>
    </w:p>
    <w:p>
      <w:r>
        <w:t>L'enveloppe est arbitrée à 1,8 MEUR, soit 2,3 % de la masse salariale, avec une demande d'amélioration du taux de consommation à 92 %. Il est décidé de privilégier les formats courts et distanciels, dont le taux de réalisation constaté est nettement supérieur, et de conditionner l'inscription à un accord explicite du responsable sur la disponibilité, engagement pris en amont plutôt que constaté au moment de la session. Une enveloppe de 240 kEUR est spécifiquement fléchée sur les compétences en intelligence artificielle.</w:t>
      </w:r>
    </w:p>
    <w:p>
      <w:pPr>
        <w:pStyle w:val="Heading2"/>
      </w:pPr>
      <w:r>
        <w:t>Répartition du budget de formation 2027</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4A4A4A"/>
          </w:tcPr>
          <w:p>
            <w:r/>
            <w:r>
              <w:rPr>
                <w:b/>
                <w:color w:val="FFFFFF"/>
                <w:sz w:val="18"/>
              </w:rPr>
              <w:t>Domaine</w:t>
            </w:r>
          </w:p>
        </w:tc>
        <w:tc>
          <w:tcPr>
            <w:tcW w:type="dxa" w:w="1949"/>
            <w:shd w:val="clear" w:color="auto" w:fill="4A4A4A"/>
          </w:tcPr>
          <w:p>
            <w:r/>
            <w:r>
              <w:rPr>
                <w:b/>
                <w:color w:val="FFFFFF"/>
                <w:sz w:val="18"/>
              </w:rPr>
              <w:t>2026</w:t>
            </w:r>
          </w:p>
        </w:tc>
        <w:tc>
          <w:tcPr>
            <w:tcW w:type="dxa" w:w="1949"/>
            <w:shd w:val="clear" w:color="auto" w:fill="4A4A4A"/>
          </w:tcPr>
          <w:p>
            <w:r/>
            <w:r>
              <w:rPr>
                <w:b/>
                <w:color w:val="FFFFFF"/>
                <w:sz w:val="18"/>
              </w:rPr>
              <w:t>Demandé</w:t>
            </w:r>
          </w:p>
        </w:tc>
        <w:tc>
          <w:tcPr>
            <w:tcW w:type="dxa" w:w="1949"/>
            <w:shd w:val="clear" w:color="auto" w:fill="4A4A4A"/>
          </w:tcPr>
          <w:p>
            <w:r/>
            <w:r>
              <w:rPr>
                <w:b/>
                <w:color w:val="FFFFFF"/>
                <w:sz w:val="18"/>
              </w:rPr>
              <w:t>Arbitré</w:t>
            </w:r>
          </w:p>
        </w:tc>
        <w:tc>
          <w:tcPr>
            <w:tcW w:type="dxa" w:w="1949"/>
            <w:shd w:val="clear" w:color="auto" w:fill="4A4A4A"/>
          </w:tcPr>
          <w:p>
            <w:r/>
            <w:r>
              <w:rPr>
                <w:b/>
                <w:color w:val="FFFFFF"/>
                <w:sz w:val="18"/>
              </w:rPr>
              <w:t>Bénéficiaires visés</w:t>
            </w:r>
          </w:p>
        </w:tc>
      </w:tr>
      <w:tr>
        <w:tc>
          <w:tcPr>
            <w:tcW w:type="dxa" w:w="1949"/>
          </w:tcPr>
          <w:p>
            <w:r/>
            <w:r>
              <w:rPr>
                <w:sz w:val="18"/>
              </w:rPr>
              <w:t>Compétences techniques et IA</w:t>
            </w:r>
          </w:p>
        </w:tc>
        <w:tc>
          <w:tcPr>
            <w:tcW w:type="dxa" w:w="1949"/>
          </w:tcPr>
          <w:p>
            <w:r/>
            <w:r>
              <w:rPr>
                <w:sz w:val="18"/>
              </w:rPr>
              <w:t>480</w:t>
            </w:r>
          </w:p>
        </w:tc>
        <w:tc>
          <w:tcPr>
            <w:tcW w:type="dxa" w:w="1949"/>
          </w:tcPr>
          <w:p>
            <w:r/>
            <w:r>
              <w:rPr>
                <w:sz w:val="18"/>
              </w:rPr>
              <w:t>620</w:t>
            </w:r>
          </w:p>
        </w:tc>
        <w:tc>
          <w:tcPr>
            <w:tcW w:type="dxa" w:w="1949"/>
          </w:tcPr>
          <w:p>
            <w:r/>
            <w:r>
              <w:rPr>
                <w:sz w:val="18"/>
              </w:rPr>
              <w:t>580</w:t>
            </w:r>
          </w:p>
        </w:tc>
        <w:tc>
          <w:tcPr>
            <w:tcW w:type="dxa" w:w="1949"/>
          </w:tcPr>
          <w:p>
            <w:r/>
            <w:r>
              <w:rPr>
                <w:sz w:val="18"/>
              </w:rPr>
              <w:t>Direction technique, 214 personnes</w:t>
            </w:r>
          </w:p>
        </w:tc>
      </w:tr>
      <w:tr>
        <w:tc>
          <w:tcPr>
            <w:tcW w:type="dxa" w:w="1949"/>
          </w:tcPr>
          <w:p>
            <w:r/>
            <w:r>
              <w:rPr>
                <w:sz w:val="18"/>
              </w:rPr>
              <w:t>Management et encadrement</w:t>
            </w:r>
          </w:p>
        </w:tc>
        <w:tc>
          <w:tcPr>
            <w:tcW w:type="dxa" w:w="1949"/>
          </w:tcPr>
          <w:p>
            <w:r/>
            <w:r>
              <w:rPr>
                <w:sz w:val="18"/>
              </w:rPr>
              <w:t>310</w:t>
            </w:r>
          </w:p>
        </w:tc>
        <w:tc>
          <w:tcPr>
            <w:tcW w:type="dxa" w:w="1949"/>
          </w:tcPr>
          <w:p>
            <w:r/>
            <w:r>
              <w:rPr>
                <w:sz w:val="18"/>
              </w:rPr>
              <w:t>420</w:t>
            </w:r>
          </w:p>
        </w:tc>
        <w:tc>
          <w:tcPr>
            <w:tcW w:type="dxa" w:w="1949"/>
          </w:tcPr>
          <w:p>
            <w:r/>
            <w:r>
              <w:rPr>
                <w:sz w:val="18"/>
              </w:rPr>
              <w:t>380</w:t>
            </w:r>
          </w:p>
        </w:tc>
        <w:tc>
          <w:tcPr>
            <w:tcW w:type="dxa" w:w="1949"/>
          </w:tcPr>
          <w:p>
            <w:r/>
            <w:r>
              <w:rPr>
                <w:sz w:val="18"/>
              </w:rPr>
              <w:t>84 encadrants</w:t>
            </w:r>
          </w:p>
        </w:tc>
      </w:tr>
      <w:tr>
        <w:tc>
          <w:tcPr>
            <w:tcW w:type="dxa" w:w="1949"/>
          </w:tcPr>
          <w:p>
            <w:r/>
            <w:r>
              <w:rPr>
                <w:sz w:val="18"/>
              </w:rPr>
              <w:t>Commercial et relation client</w:t>
            </w:r>
          </w:p>
        </w:tc>
        <w:tc>
          <w:tcPr>
            <w:tcW w:type="dxa" w:w="1949"/>
          </w:tcPr>
          <w:p>
            <w:r/>
            <w:r>
              <w:rPr>
                <w:sz w:val="18"/>
              </w:rPr>
              <w:t>290</w:t>
            </w:r>
          </w:p>
        </w:tc>
        <w:tc>
          <w:tcPr>
            <w:tcW w:type="dxa" w:w="1949"/>
          </w:tcPr>
          <w:p>
            <w:r/>
            <w:r>
              <w:rPr>
                <w:sz w:val="18"/>
              </w:rPr>
              <w:t>310</w:t>
            </w:r>
          </w:p>
        </w:tc>
        <w:tc>
          <w:tcPr>
            <w:tcW w:type="dxa" w:w="1949"/>
          </w:tcPr>
          <w:p>
            <w:r/>
            <w:r>
              <w:rPr>
                <w:sz w:val="18"/>
              </w:rPr>
              <w:t>300</w:t>
            </w:r>
          </w:p>
        </w:tc>
        <w:tc>
          <w:tcPr>
            <w:tcW w:type="dxa" w:w="1949"/>
          </w:tcPr>
          <w:p>
            <w:r/>
            <w:r>
              <w:rPr>
                <w:sz w:val="18"/>
              </w:rPr>
              <w:t>299 personnes</w:t>
            </w:r>
          </w:p>
        </w:tc>
      </w:tr>
      <w:tr>
        <w:tc>
          <w:tcPr>
            <w:tcW w:type="dxa" w:w="1949"/>
          </w:tcPr>
          <w:p>
            <w:r/>
            <w:r>
              <w:rPr>
                <w:sz w:val="18"/>
              </w:rPr>
              <w:t>Sécurité et conformité obligatoire</w:t>
            </w:r>
          </w:p>
        </w:tc>
        <w:tc>
          <w:tcPr>
            <w:tcW w:type="dxa" w:w="1949"/>
          </w:tcPr>
          <w:p>
            <w:r/>
            <w:r>
              <w:rPr>
                <w:sz w:val="18"/>
              </w:rPr>
              <w:t>240</w:t>
            </w:r>
          </w:p>
        </w:tc>
        <w:tc>
          <w:tcPr>
            <w:tcW w:type="dxa" w:w="1949"/>
          </w:tcPr>
          <w:p>
            <w:r/>
            <w:r>
              <w:rPr>
                <w:sz w:val="18"/>
              </w:rPr>
              <w:t>260</w:t>
            </w:r>
          </w:p>
        </w:tc>
        <w:tc>
          <w:tcPr>
            <w:tcW w:type="dxa" w:w="1949"/>
          </w:tcPr>
          <w:p>
            <w:r/>
            <w:r>
              <w:rPr>
                <w:sz w:val="18"/>
              </w:rPr>
              <w:t>260</w:t>
            </w:r>
          </w:p>
        </w:tc>
        <w:tc>
          <w:tcPr>
            <w:tcW w:type="dxa" w:w="1949"/>
          </w:tcPr>
          <w:p>
            <w:r/>
            <w:r>
              <w:rPr>
                <w:sz w:val="18"/>
              </w:rPr>
              <w:t>Ensemble des collaborateurs</w:t>
            </w:r>
          </w:p>
        </w:tc>
      </w:tr>
      <w:tr>
        <w:tc>
          <w:tcPr>
            <w:tcW w:type="dxa" w:w="1949"/>
          </w:tcPr>
          <w:p>
            <w:r/>
            <w:r>
              <w:rPr>
                <w:sz w:val="18"/>
              </w:rPr>
              <w:t>Langues</w:t>
            </w:r>
          </w:p>
        </w:tc>
        <w:tc>
          <w:tcPr>
            <w:tcW w:type="dxa" w:w="1949"/>
          </w:tcPr>
          <w:p>
            <w:r/>
            <w:r>
              <w:rPr>
                <w:sz w:val="18"/>
              </w:rPr>
              <w:t>160</w:t>
            </w:r>
          </w:p>
        </w:tc>
        <w:tc>
          <w:tcPr>
            <w:tcW w:type="dxa" w:w="1949"/>
          </w:tcPr>
          <w:p>
            <w:r/>
            <w:r>
              <w:rPr>
                <w:sz w:val="18"/>
              </w:rPr>
              <w:t>180</w:t>
            </w:r>
          </w:p>
        </w:tc>
        <w:tc>
          <w:tcPr>
            <w:tcW w:type="dxa" w:w="1949"/>
          </w:tcPr>
          <w:p>
            <w:r/>
            <w:r>
              <w:rPr>
                <w:sz w:val="18"/>
              </w:rPr>
              <w:t>150</w:t>
            </w:r>
          </w:p>
        </w:tc>
        <w:tc>
          <w:tcPr>
            <w:tcW w:type="dxa" w:w="1949"/>
          </w:tcPr>
          <w:p>
            <w:r/>
            <w:r>
              <w:rPr>
                <w:sz w:val="18"/>
              </w:rPr>
              <w:t>Sur demande motivée</w:t>
            </w:r>
          </w:p>
        </w:tc>
      </w:tr>
      <w:tr>
        <w:tc>
          <w:tcPr>
            <w:tcW w:type="dxa" w:w="1949"/>
          </w:tcPr>
          <w:p>
            <w:r/>
            <w:r>
              <w:rPr>
                <w:sz w:val="18"/>
              </w:rPr>
              <w:t>Bureautique et outils internes</w:t>
            </w:r>
          </w:p>
        </w:tc>
        <w:tc>
          <w:tcPr>
            <w:tcW w:type="dxa" w:w="1949"/>
          </w:tcPr>
          <w:p>
            <w:r/>
            <w:r>
              <w:rPr>
                <w:sz w:val="18"/>
              </w:rPr>
              <w:t>120</w:t>
            </w:r>
          </w:p>
        </w:tc>
        <w:tc>
          <w:tcPr>
            <w:tcW w:type="dxa" w:w="1949"/>
          </w:tcPr>
          <w:p>
            <w:r/>
            <w:r>
              <w:rPr>
                <w:sz w:val="18"/>
              </w:rPr>
              <w:t>110</w:t>
            </w:r>
          </w:p>
        </w:tc>
        <w:tc>
          <w:tcPr>
            <w:tcW w:type="dxa" w:w="1949"/>
          </w:tcPr>
          <w:p>
            <w:r/>
            <w:r>
              <w:rPr>
                <w:sz w:val="18"/>
              </w:rPr>
              <w:t>130</w:t>
            </w:r>
          </w:p>
        </w:tc>
        <w:tc>
          <w:tcPr>
            <w:tcW w:type="dxa" w:w="1949"/>
          </w:tcPr>
          <w:p>
            <w:r/>
            <w:r>
              <w:rPr>
                <w:sz w:val="18"/>
              </w:rPr>
              <w:t>Ensemble des collaborateurs</w:t>
            </w:r>
          </w:p>
        </w:tc>
      </w:tr>
      <w:tr>
        <w:tc>
          <w:tcPr>
            <w:tcW w:type="dxa" w:w="1949"/>
          </w:tcPr>
          <w:p>
            <w:r/>
            <w:r>
              <w:rPr>
                <w:sz w:val="18"/>
              </w:rPr>
              <w:t>Total</w:t>
            </w:r>
          </w:p>
        </w:tc>
        <w:tc>
          <w:tcPr>
            <w:tcW w:type="dxa" w:w="1949"/>
          </w:tcPr>
          <w:p>
            <w:r/>
            <w:r>
              <w:rPr>
                <w:sz w:val="18"/>
              </w:rPr>
              <w:t>1 600</w:t>
            </w:r>
          </w:p>
        </w:tc>
        <w:tc>
          <w:tcPr>
            <w:tcW w:type="dxa" w:w="1949"/>
          </w:tcPr>
          <w:p>
            <w:r/>
            <w:r>
              <w:rPr>
                <w:sz w:val="18"/>
              </w:rPr>
              <w:t>1 900</w:t>
            </w:r>
          </w:p>
        </w:tc>
        <w:tc>
          <w:tcPr>
            <w:tcW w:type="dxa" w:w="1949"/>
          </w:tcPr>
          <w:p>
            <w:r/>
            <w:r>
              <w:rPr>
                <w:sz w:val="18"/>
              </w:rPr>
              <w:t>1 800</w:t>
            </w:r>
          </w:p>
        </w:tc>
        <w:tc>
          <w:tcPr>
            <w:tcW w:type="dxa" w:w="1949"/>
          </w:tcPr>
          <w:p>
            <w:r/>
            <w:r>
              <w:rPr>
                <w:sz w:val="18"/>
              </w:rPr>
              <w:t>—</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Une enveloppe de formation consommée à 84 % ne traduit pas un besoin surestimé mais une difficulté d'organisation. L'action porte sur la libération effective des collaborateurs, non sur le montant.</w:t>
            </w:r>
          </w:p>
        </w:tc>
      </w:tr>
    </w:tbl>
    <w:p/>
    <w:p>
      <w:r>
        <w:br w:type="page"/>
      </w:r>
    </w:p>
    <w:p>
      <w:pPr>
        <w:pStyle w:val="Heading1"/>
      </w:pPr>
      <w:r>
        <w:rPr>
          <w:color w:val="4A4A4A"/>
        </w:rPr>
        <w:t>10. Réserve de gestion et provision pour aléas</w:t>
      </w:r>
    </w:p>
    <w:p>
      <w:r>
        <w:rPr>
          <w:i/>
          <w:color w:val="555555"/>
        </w:rPr>
        <w:t>Une réserve suffisante évite les arbitrages en urgence en cours d'exercice.</w:t>
      </w:r>
    </w:p>
    <w:p>
      <w:r>
        <w:t>Le directeur administratif et financier propose de porter la réserve de gestion de 2,0 % à 2,5 % de l'enveloppe globale, soit 3,8 MEUR. Il justifie cette augmentation par le constat de l'exercice en cours, où la réserve initiale de 2,7 MEUR a été consommée à 78 % dès le mois de mai, principalement du fait de l'accélération du programme d'intelligence artificielle et de deux aléas non anticipés : la relance de l'appel d'offres de supervision et la découverte des désordres du réseau de plomberie.</w:t>
      </w:r>
    </w:p>
    <w:p>
      <w:r>
        <w:t>Il rappelle la doctrine d'usage de la réserve, qui n'est pas un budget complémentaire distribuable mais un instrument de gestion de l'imprévu. Trois catégories d'usage sont admises : les aléas véritablement imprévisibles, les opportunités dont la fenêtre est incompatible avec le cycle budgétaire annuel, et les accélérations de projets validés dont l'avancement dépasse la prévision. N'est pas admis le financement d'un besoin identifiable au moment de la construction budgétaire et volontairement omis pour éviter l'arbitrage.</w:t>
      </w:r>
    </w:p>
    <w:p>
      <w:r>
        <w:t>La directrice générale valide une réserve de 3,5 MEUR, soit 2,3 % de l'enveloppe, à laquelle s'ajoute le palier conditionnel de 1,4 MEUR fléché sur l'infrastructure d'intelligence artificielle. Elle précise que ce palier n'est mobilisable que sur son objet et ne constitue pas une réserve généraliste. Toute mobilisation de la réserve au-delà de 200 kEUR requiert une décision du comité de direction, et le suivi de la consommation est présenté mensuellement au comité budgétaire.</w:t>
      </w:r>
    </w:p>
    <w:p>
      <w:pPr>
        <w:pStyle w:val="Heading2"/>
      </w:pPr>
      <w:r>
        <w:t>Doctrine d'usage de la réserve de gestion</w:t>
      </w:r>
    </w:p>
    <w:p>
      <w:pPr>
        <w:pStyle w:val="ListBullet"/>
        <w:spacing w:after="60"/>
      </w:pPr>
      <w:r>
        <w:t>Admis : aléa véritablement imprévisible au moment de la construction budgétaire.</w:t>
      </w:r>
    </w:p>
    <w:p>
      <w:pPr>
        <w:pStyle w:val="ListBullet"/>
        <w:spacing w:after="60"/>
      </w:pPr>
      <w:r>
        <w:t>Admis : opportunité dont la fenêtre est incompatible avec le cycle annuel.</w:t>
      </w:r>
    </w:p>
    <w:p>
      <w:pPr>
        <w:pStyle w:val="ListBullet"/>
        <w:spacing w:after="60"/>
      </w:pPr>
      <w:r>
        <w:t>Admis : accélération d'un projet validé dont l'avancement dépasse la prévision.</w:t>
      </w:r>
    </w:p>
    <w:p>
      <w:pPr>
        <w:pStyle w:val="ListBullet"/>
        <w:spacing w:after="60"/>
      </w:pPr>
      <w:r>
        <w:t>Non admis : besoin identifiable et volontairement omis lors de la construction.</w:t>
      </w:r>
    </w:p>
    <w:p>
      <w:pPr>
        <w:pStyle w:val="ListBullet"/>
        <w:spacing w:after="60"/>
      </w:pPr>
      <w:r>
        <w:t>Non admis : dépassement d'une enveloppe par défaut de pilotage.</w:t>
      </w:r>
    </w:p>
    <w:p>
      <w:pPr>
        <w:pStyle w:val="ListBullet"/>
        <w:spacing w:after="60"/>
      </w:pPr>
      <w:r>
        <w:t>Non admis : financement d'un projet ayant fait l'objet d'un arbitrage négatif.</w:t>
      </w:r>
    </w:p>
    <w:p>
      <w:pPr>
        <w:pStyle w:val="Heading2"/>
      </w:pPr>
      <w:r>
        <w:t>Constitution de la réserve 2027</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4A4A4A"/>
          </w:tcPr>
          <w:p>
            <w:r/>
            <w:r>
              <w:rPr>
                <w:b/>
                <w:color w:val="FFFFFF"/>
                <w:sz w:val="18"/>
              </w:rPr>
              <w:t>Composante</w:t>
            </w:r>
          </w:p>
        </w:tc>
        <w:tc>
          <w:tcPr>
            <w:tcW w:type="dxa" w:w="2436"/>
            <w:shd w:val="clear" w:color="auto" w:fill="4A4A4A"/>
          </w:tcPr>
          <w:p>
            <w:r/>
            <w:r>
              <w:rPr>
                <w:b/>
                <w:color w:val="FFFFFF"/>
                <w:sz w:val="18"/>
              </w:rPr>
              <w:t>Montant (kEUR)</w:t>
            </w:r>
          </w:p>
        </w:tc>
        <w:tc>
          <w:tcPr>
            <w:tcW w:type="dxa" w:w="2436"/>
            <w:shd w:val="clear" w:color="auto" w:fill="4A4A4A"/>
          </w:tcPr>
          <w:p>
            <w:r/>
            <w:r>
              <w:rPr>
                <w:b/>
                <w:color w:val="FFFFFF"/>
                <w:sz w:val="18"/>
              </w:rPr>
              <w:t>Objet</w:t>
            </w:r>
          </w:p>
        </w:tc>
        <w:tc>
          <w:tcPr>
            <w:tcW w:type="dxa" w:w="2436"/>
            <w:shd w:val="clear" w:color="auto" w:fill="4A4A4A"/>
          </w:tcPr>
          <w:p>
            <w:r/>
            <w:r>
              <w:rPr>
                <w:b/>
                <w:color w:val="FFFFFF"/>
                <w:sz w:val="18"/>
              </w:rPr>
              <w:t>Autorité de mobilisation</w:t>
            </w:r>
          </w:p>
        </w:tc>
      </w:tr>
      <w:tr>
        <w:tc>
          <w:tcPr>
            <w:tcW w:type="dxa" w:w="2436"/>
          </w:tcPr>
          <w:p>
            <w:r/>
            <w:r>
              <w:rPr>
                <w:sz w:val="18"/>
              </w:rPr>
              <w:t>Réserve de gestion générale</w:t>
            </w:r>
          </w:p>
        </w:tc>
        <w:tc>
          <w:tcPr>
            <w:tcW w:type="dxa" w:w="2436"/>
          </w:tcPr>
          <w:p>
            <w:r/>
            <w:r>
              <w:rPr>
                <w:sz w:val="18"/>
              </w:rPr>
              <w:t>3 500</w:t>
            </w:r>
          </w:p>
        </w:tc>
        <w:tc>
          <w:tcPr>
            <w:tcW w:type="dxa" w:w="2436"/>
          </w:tcPr>
          <w:p>
            <w:r/>
            <w:r>
              <w:rPr>
                <w:sz w:val="18"/>
              </w:rPr>
              <w:t>Aléas, opportunités, accélérations</w:t>
            </w:r>
          </w:p>
        </w:tc>
        <w:tc>
          <w:tcPr>
            <w:tcW w:type="dxa" w:w="2436"/>
          </w:tcPr>
          <w:p>
            <w:r/>
            <w:r>
              <w:rPr>
                <w:sz w:val="18"/>
              </w:rPr>
              <w:t>Comité de direction au-delà de 200 kEUR</w:t>
            </w:r>
          </w:p>
        </w:tc>
      </w:tr>
      <w:tr>
        <w:tc>
          <w:tcPr>
            <w:tcW w:type="dxa" w:w="2436"/>
          </w:tcPr>
          <w:p>
            <w:r/>
            <w:r>
              <w:rPr>
                <w:sz w:val="18"/>
              </w:rPr>
              <w:t>Palier conditionnel infrastructure IA</w:t>
            </w:r>
          </w:p>
        </w:tc>
        <w:tc>
          <w:tcPr>
            <w:tcW w:type="dxa" w:w="2436"/>
          </w:tcPr>
          <w:p>
            <w:r/>
            <w:r>
              <w:rPr>
                <w:sz w:val="18"/>
              </w:rPr>
              <w:t>1 400</w:t>
            </w:r>
          </w:p>
        </w:tc>
        <w:tc>
          <w:tcPr>
            <w:tcW w:type="dxa" w:w="2436"/>
          </w:tcPr>
          <w:p>
            <w:r/>
            <w:r>
              <w:rPr>
                <w:sz w:val="18"/>
              </w:rPr>
              <w:t>Capacité d'inférence si adoption &gt; 35 %</w:t>
            </w:r>
          </w:p>
        </w:tc>
        <w:tc>
          <w:tcPr>
            <w:tcW w:type="dxa" w:w="2436"/>
          </w:tcPr>
          <w:p>
            <w:r/>
            <w:r>
              <w:rPr>
                <w:sz w:val="18"/>
              </w:rPr>
              <w:t>Comité de direction sur présentation</w:t>
            </w:r>
          </w:p>
        </w:tc>
      </w:tr>
      <w:tr>
        <w:tc>
          <w:tcPr>
            <w:tcW w:type="dxa" w:w="2436"/>
          </w:tcPr>
          <w:p>
            <w:r/>
            <w:r>
              <w:rPr>
                <w:sz w:val="18"/>
              </w:rPr>
              <w:t>Provision pour litiges</w:t>
            </w:r>
          </w:p>
        </w:tc>
        <w:tc>
          <w:tcPr>
            <w:tcW w:type="dxa" w:w="2436"/>
          </w:tcPr>
          <w:p>
            <w:r/>
            <w:r>
              <w:rPr>
                <w:sz w:val="18"/>
              </w:rPr>
              <w:t>600</w:t>
            </w:r>
          </w:p>
        </w:tc>
        <w:tc>
          <w:tcPr>
            <w:tcW w:type="dxa" w:w="2436"/>
          </w:tcPr>
          <w:p>
            <w:r/>
            <w:r>
              <w:rPr>
                <w:sz w:val="18"/>
              </w:rPr>
              <w:t>Contentieux en cours identifiés</w:t>
            </w:r>
          </w:p>
        </w:tc>
        <w:tc>
          <w:tcPr>
            <w:tcW w:type="dxa" w:w="2436"/>
          </w:tcPr>
          <w:p>
            <w:r/>
            <w:r>
              <w:rPr>
                <w:sz w:val="18"/>
              </w:rPr>
              <w:t>Direction juridique et DAF</w:t>
            </w:r>
          </w:p>
        </w:tc>
      </w:tr>
      <w:tr>
        <w:tc>
          <w:tcPr>
            <w:tcW w:type="dxa" w:w="2436"/>
          </w:tcPr>
          <w:p>
            <w:r/>
            <w:r>
              <w:rPr>
                <w:sz w:val="18"/>
              </w:rPr>
              <w:t>Total mis en réserve</w:t>
            </w:r>
          </w:p>
        </w:tc>
        <w:tc>
          <w:tcPr>
            <w:tcW w:type="dxa" w:w="2436"/>
          </w:tcPr>
          <w:p>
            <w:r/>
            <w:r>
              <w:rPr>
                <w:sz w:val="18"/>
              </w:rPr>
              <w:t>5 500</w:t>
            </w:r>
          </w:p>
        </w:tc>
        <w:tc>
          <w:tcPr>
            <w:tcW w:type="dxa" w:w="2436"/>
          </w:tcPr>
          <w:p>
            <w:r/>
            <w:r>
              <w:rPr>
                <w:sz w:val="18"/>
              </w:rPr>
              <w:t>—</w:t>
            </w:r>
          </w:p>
        </w:tc>
        <w:tc>
          <w:tcPr>
            <w:tcW w:type="dxa" w:w="2436"/>
          </w:tcPr>
          <w:p>
            <w:r/>
            <w:r>
              <w:rPr>
                <w:sz w:val="18"/>
              </w:rPr>
              <w:t>—</w:t>
            </w:r>
          </w:p>
        </w:tc>
      </w:tr>
      <w:tr>
        <w:tc>
          <w:tcPr>
            <w:tcW w:type="dxa" w:w="2436"/>
          </w:tcPr>
          <w:p>
            <w:r/>
            <w:r>
              <w:rPr>
                <w:sz w:val="18"/>
              </w:rPr>
              <w:t>Part de l'enveloppe globale</w:t>
            </w:r>
          </w:p>
        </w:tc>
        <w:tc>
          <w:tcPr>
            <w:tcW w:type="dxa" w:w="2436"/>
          </w:tcPr>
          <w:p>
            <w:r/>
            <w:r>
              <w:rPr>
                <w:sz w:val="18"/>
              </w:rPr>
              <w:t>3,6 %</w:t>
            </w:r>
          </w:p>
        </w:tc>
        <w:tc>
          <w:tcPr>
            <w:tcW w:type="dxa" w:w="2436"/>
          </w:tcPr>
          <w:p>
            <w:r/>
            <w:r>
              <w:rPr>
                <w:sz w:val="18"/>
              </w:rPr>
              <w:t>—</w:t>
            </w:r>
          </w:p>
        </w:tc>
        <w:tc>
          <w:tcPr>
            <w:tcW w:type="dxa" w:w="2436"/>
          </w:tcPr>
          <w:p>
            <w:r/>
            <w:r>
              <w:rPr>
                <w:sz w:val="18"/>
              </w:rPr>
              <w:t>—</w:t>
            </w:r>
          </w:p>
        </w:tc>
      </w:tr>
    </w:tbl>
    <w:p/>
    <w:p>
      <w:r>
        <w:br w:type="page"/>
      </w:r>
    </w:p>
    <w:p>
      <w:pPr>
        <w:pStyle w:val="Heading1"/>
      </w:pPr>
      <w:r>
        <w:rPr>
          <w:color w:val="4A4A4A"/>
        </w:rPr>
        <w:t>11. Enveloppes définitives validées par direction</w:t>
      </w:r>
    </w:p>
    <w:p>
      <w:r>
        <w:rPr>
          <w:i/>
          <w:color w:val="555555"/>
        </w:rPr>
        <w:t>Le total arbitré s'établit à 152,1 MEUR contre un cadrage de 150,7 MEUR, dépassement assumé et financé par la révision de l'atterrissage 2026.</w:t>
      </w:r>
    </w:p>
    <w:p>
      <w:r>
        <w:t>La responsable de la planification budgétaire présente la consolidation des arbitrages. Le total des enveloppes validées s'établit à 152,1 MEUR, soit un dépassement de 1,4 MEUR par rapport au cadrage initial de 150,7 MEUR. Le directeur administratif et financier indique que ce dépassement est absorbable sans révision de l'objectif de marge, l'atterrissage 2026 révisé à 131,7 MEUR étant inférieur de 1,7 MEUR au budget voté, ce qui améliore mécaniquement la base de départ.</w:t>
      </w:r>
    </w:p>
    <w:p>
      <w:r>
        <w:t>La directrice générale valide les enveloppes et rappelle deux principes de gestion pour l'exercice. Le premier est la fongibilité interne : chaque directeur dispose d'une liberté de réallocation à l'intérieur de son enveloppe, à l'exception de la masse salariale dont toute création de poste non prévue reste soumise à validation. Le second est l'absence de report : une sous-consommation en fin d'exercice n'ouvre aucun droit sur l'exercice suivant, disposition destinée à décourager les dépenses de fin d'année sans utilité, phénomène observé les années précédentes sur deux directions.</w:t>
      </w:r>
    </w:p>
    <w:p>
      <w:r>
        <w:t>Elle demande enfin que la présentation des enveloppes aux équipes soit conduite par chaque directeur dans les trois semaines, avec un souci d'explicitation des arbitrages rendus. Elle souligne qu'un arbitrage expliqué, même défavorable, est mieux accepté qu'une enveloppe transmise sans commentaire, et que la compréhension du cadre économique par les équipes constitue un facteur d'efficacité en soi.</w:t>
      </w:r>
    </w:p>
    <w:p>
      <w:pPr>
        <w:pStyle w:val="Heading2"/>
      </w:pPr>
      <w:r>
        <w:t>Enveloppes définitives 2027 par direction</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4A4A4A"/>
          </w:tcPr>
          <w:p>
            <w:r/>
            <w:r>
              <w:rPr>
                <w:b/>
                <w:color w:val="FFFFFF"/>
                <w:sz w:val="18"/>
              </w:rPr>
              <w:t>Direction</w:t>
            </w:r>
          </w:p>
        </w:tc>
        <w:tc>
          <w:tcPr>
            <w:tcW w:type="dxa" w:w="1624"/>
            <w:shd w:val="clear" w:color="auto" w:fill="4A4A4A"/>
          </w:tcPr>
          <w:p>
            <w:r/>
            <w:r>
              <w:rPr>
                <w:b/>
                <w:color w:val="FFFFFF"/>
                <w:sz w:val="18"/>
              </w:rPr>
              <w:t>Budget 2026</w:t>
            </w:r>
          </w:p>
        </w:tc>
        <w:tc>
          <w:tcPr>
            <w:tcW w:type="dxa" w:w="1624"/>
            <w:shd w:val="clear" w:color="auto" w:fill="4A4A4A"/>
          </w:tcPr>
          <w:p>
            <w:r/>
            <w:r>
              <w:rPr>
                <w:b/>
                <w:color w:val="FFFFFF"/>
                <w:sz w:val="18"/>
              </w:rPr>
              <w:t>Demandé 2027</w:t>
            </w:r>
          </w:p>
        </w:tc>
        <w:tc>
          <w:tcPr>
            <w:tcW w:type="dxa" w:w="1624"/>
            <w:shd w:val="clear" w:color="auto" w:fill="4A4A4A"/>
          </w:tcPr>
          <w:p>
            <w:r/>
            <w:r>
              <w:rPr>
                <w:b/>
                <w:color w:val="FFFFFF"/>
                <w:sz w:val="18"/>
              </w:rPr>
              <w:t>Arbitré 2027</w:t>
            </w:r>
          </w:p>
        </w:tc>
        <w:tc>
          <w:tcPr>
            <w:tcW w:type="dxa" w:w="1624"/>
            <w:shd w:val="clear" w:color="auto" w:fill="4A4A4A"/>
          </w:tcPr>
          <w:p>
            <w:r/>
            <w:r>
              <w:rPr>
                <w:b/>
                <w:color w:val="FFFFFF"/>
                <w:sz w:val="18"/>
              </w:rPr>
              <w:t>Variation</w:t>
            </w:r>
          </w:p>
        </w:tc>
        <w:tc>
          <w:tcPr>
            <w:tcW w:type="dxa" w:w="1624"/>
            <w:shd w:val="clear" w:color="auto" w:fill="4A4A4A"/>
          </w:tcPr>
          <w:p>
            <w:r/>
            <w:r>
              <w:rPr>
                <w:b/>
                <w:color w:val="FFFFFF"/>
                <w:sz w:val="18"/>
              </w:rPr>
              <w:t>Part</w:t>
            </w:r>
          </w:p>
        </w:tc>
      </w:tr>
      <w:tr>
        <w:tc>
          <w:tcPr>
            <w:tcW w:type="dxa" w:w="1624"/>
          </w:tcPr>
          <w:p>
            <w:r/>
            <w:r>
              <w:rPr>
                <w:sz w:val="18"/>
              </w:rPr>
              <w:t>Direction technique</w:t>
            </w:r>
          </w:p>
        </w:tc>
        <w:tc>
          <w:tcPr>
            <w:tcW w:type="dxa" w:w="1624"/>
          </w:tcPr>
          <w:p>
            <w:r/>
            <w:r>
              <w:rPr>
                <w:sz w:val="18"/>
              </w:rPr>
              <w:t>38 400</w:t>
            </w:r>
          </w:p>
        </w:tc>
        <w:tc>
          <w:tcPr>
            <w:tcW w:type="dxa" w:w="1624"/>
          </w:tcPr>
          <w:p>
            <w:r/>
            <w:r>
              <w:rPr>
                <w:sz w:val="18"/>
              </w:rPr>
              <w:t>52 300</w:t>
            </w:r>
          </w:p>
        </w:tc>
        <w:tc>
          <w:tcPr>
            <w:tcW w:type="dxa" w:w="1624"/>
          </w:tcPr>
          <w:p>
            <w:r/>
            <w:r>
              <w:rPr>
                <w:sz w:val="18"/>
              </w:rPr>
              <w:t>44 100</w:t>
            </w:r>
          </w:p>
        </w:tc>
        <w:tc>
          <w:tcPr>
            <w:tcW w:type="dxa" w:w="1624"/>
          </w:tcPr>
          <w:p>
            <w:r/>
            <w:r>
              <w:rPr>
                <w:sz w:val="18"/>
              </w:rPr>
              <w:t>+14,8 %</w:t>
            </w:r>
          </w:p>
        </w:tc>
        <w:tc>
          <w:tcPr>
            <w:tcW w:type="dxa" w:w="1624"/>
          </w:tcPr>
          <w:p>
            <w:r/>
            <w:r>
              <w:rPr>
                <w:sz w:val="18"/>
              </w:rPr>
              <w:t>29,0 %</w:t>
            </w:r>
          </w:p>
        </w:tc>
      </w:tr>
      <w:tr>
        <w:tc>
          <w:tcPr>
            <w:tcW w:type="dxa" w:w="1624"/>
          </w:tcPr>
          <w:p>
            <w:r/>
            <w:r>
              <w:rPr>
                <w:sz w:val="18"/>
              </w:rPr>
              <w:t>Direction commerciale</w:t>
            </w:r>
          </w:p>
        </w:tc>
        <w:tc>
          <w:tcPr>
            <w:tcW w:type="dxa" w:w="1624"/>
          </w:tcPr>
          <w:p>
            <w:r/>
            <w:r>
              <w:rPr>
                <w:sz w:val="18"/>
              </w:rPr>
              <w:t>31 200</w:t>
            </w:r>
          </w:p>
        </w:tc>
        <w:tc>
          <w:tcPr>
            <w:tcW w:type="dxa" w:w="1624"/>
          </w:tcPr>
          <w:p>
            <w:r/>
            <w:r>
              <w:rPr>
                <w:sz w:val="18"/>
              </w:rPr>
              <w:t>37 800</w:t>
            </w:r>
          </w:p>
        </w:tc>
        <w:tc>
          <w:tcPr>
            <w:tcW w:type="dxa" w:w="1624"/>
          </w:tcPr>
          <w:p>
            <w:r/>
            <w:r>
              <w:rPr>
                <w:sz w:val="18"/>
              </w:rPr>
              <w:t>35 200</w:t>
            </w:r>
          </w:p>
        </w:tc>
        <w:tc>
          <w:tcPr>
            <w:tcW w:type="dxa" w:w="1624"/>
          </w:tcPr>
          <w:p>
            <w:r/>
            <w:r>
              <w:rPr>
                <w:sz w:val="18"/>
              </w:rPr>
              <w:t>+12,8 %</w:t>
            </w:r>
          </w:p>
        </w:tc>
        <w:tc>
          <w:tcPr>
            <w:tcW w:type="dxa" w:w="1624"/>
          </w:tcPr>
          <w:p>
            <w:r/>
            <w:r>
              <w:rPr>
                <w:sz w:val="18"/>
              </w:rPr>
              <w:t>23,1 %</w:t>
            </w:r>
          </w:p>
        </w:tc>
      </w:tr>
      <w:tr>
        <w:tc>
          <w:tcPr>
            <w:tcW w:type="dxa" w:w="1624"/>
          </w:tcPr>
          <w:p>
            <w:r/>
            <w:r>
              <w:rPr>
                <w:sz w:val="18"/>
              </w:rPr>
              <w:t>Direction marketing</w:t>
            </w:r>
          </w:p>
        </w:tc>
        <w:tc>
          <w:tcPr>
            <w:tcW w:type="dxa" w:w="1624"/>
          </w:tcPr>
          <w:p>
            <w:r/>
            <w:r>
              <w:rPr>
                <w:sz w:val="18"/>
              </w:rPr>
              <w:t>12 800</w:t>
            </w:r>
          </w:p>
        </w:tc>
        <w:tc>
          <w:tcPr>
            <w:tcW w:type="dxa" w:w="1624"/>
          </w:tcPr>
          <w:p>
            <w:r/>
            <w:r>
              <w:rPr>
                <w:sz w:val="18"/>
              </w:rPr>
              <w:t>14 900</w:t>
            </w:r>
          </w:p>
        </w:tc>
        <w:tc>
          <w:tcPr>
            <w:tcW w:type="dxa" w:w="1624"/>
          </w:tcPr>
          <w:p>
            <w:r/>
            <w:r>
              <w:rPr>
                <w:sz w:val="18"/>
              </w:rPr>
              <w:t>13 600</w:t>
            </w:r>
          </w:p>
        </w:tc>
        <w:tc>
          <w:tcPr>
            <w:tcW w:type="dxa" w:w="1624"/>
          </w:tcPr>
          <w:p>
            <w:r/>
            <w:r>
              <w:rPr>
                <w:sz w:val="18"/>
              </w:rPr>
              <w:t>+6,3 %</w:t>
            </w:r>
          </w:p>
        </w:tc>
        <w:tc>
          <w:tcPr>
            <w:tcW w:type="dxa" w:w="1624"/>
          </w:tcPr>
          <w:p>
            <w:r/>
            <w:r>
              <w:rPr>
                <w:sz w:val="18"/>
              </w:rPr>
              <w:t>8,9 %</w:t>
            </w:r>
          </w:p>
        </w:tc>
      </w:tr>
      <w:tr>
        <w:tc>
          <w:tcPr>
            <w:tcW w:type="dxa" w:w="1624"/>
          </w:tcPr>
          <w:p>
            <w:r/>
            <w:r>
              <w:rPr>
                <w:sz w:val="18"/>
              </w:rPr>
              <w:t>Direction des opérations</w:t>
            </w:r>
          </w:p>
        </w:tc>
        <w:tc>
          <w:tcPr>
            <w:tcW w:type="dxa" w:w="1624"/>
          </w:tcPr>
          <w:p>
            <w:r/>
            <w:r>
              <w:rPr>
                <w:sz w:val="18"/>
              </w:rPr>
              <w:t>24 600</w:t>
            </w:r>
          </w:p>
        </w:tc>
        <w:tc>
          <w:tcPr>
            <w:tcW w:type="dxa" w:w="1624"/>
          </w:tcPr>
          <w:p>
            <w:r/>
            <w:r>
              <w:rPr>
                <w:sz w:val="18"/>
              </w:rPr>
              <w:t>29 400</w:t>
            </w:r>
          </w:p>
        </w:tc>
        <w:tc>
          <w:tcPr>
            <w:tcW w:type="dxa" w:w="1624"/>
          </w:tcPr>
          <w:p>
            <w:r/>
            <w:r>
              <w:rPr>
                <w:sz w:val="18"/>
              </w:rPr>
              <w:t>27 300</w:t>
            </w:r>
          </w:p>
        </w:tc>
        <w:tc>
          <w:tcPr>
            <w:tcW w:type="dxa" w:w="1624"/>
          </w:tcPr>
          <w:p>
            <w:r/>
            <w:r>
              <w:rPr>
                <w:sz w:val="18"/>
              </w:rPr>
              <w:t>+11,0 %</w:t>
            </w:r>
          </w:p>
        </w:tc>
        <w:tc>
          <w:tcPr>
            <w:tcW w:type="dxa" w:w="1624"/>
          </w:tcPr>
          <w:p>
            <w:r/>
            <w:r>
              <w:rPr>
                <w:sz w:val="18"/>
              </w:rPr>
              <w:t>17,9 %</w:t>
            </w:r>
          </w:p>
        </w:tc>
      </w:tr>
      <w:tr>
        <w:tc>
          <w:tcPr>
            <w:tcW w:type="dxa" w:w="1624"/>
          </w:tcPr>
          <w:p>
            <w:r/>
            <w:r>
              <w:rPr>
                <w:sz w:val="18"/>
              </w:rPr>
              <w:t>Direction des ressources humaines</w:t>
            </w:r>
          </w:p>
        </w:tc>
        <w:tc>
          <w:tcPr>
            <w:tcW w:type="dxa" w:w="1624"/>
          </w:tcPr>
          <w:p>
            <w:r/>
            <w:r>
              <w:rPr>
                <w:sz w:val="18"/>
              </w:rPr>
              <w:t>6 400</w:t>
            </w:r>
          </w:p>
        </w:tc>
        <w:tc>
          <w:tcPr>
            <w:tcW w:type="dxa" w:w="1624"/>
          </w:tcPr>
          <w:p>
            <w:r/>
            <w:r>
              <w:rPr>
                <w:sz w:val="18"/>
              </w:rPr>
              <w:t>8 100</w:t>
            </w:r>
          </w:p>
        </w:tc>
        <w:tc>
          <w:tcPr>
            <w:tcW w:type="dxa" w:w="1624"/>
          </w:tcPr>
          <w:p>
            <w:r/>
            <w:r>
              <w:rPr>
                <w:sz w:val="18"/>
              </w:rPr>
              <w:t>7 200</w:t>
            </w:r>
          </w:p>
        </w:tc>
        <w:tc>
          <w:tcPr>
            <w:tcW w:type="dxa" w:w="1624"/>
          </w:tcPr>
          <w:p>
            <w:r/>
            <w:r>
              <w:rPr>
                <w:sz w:val="18"/>
              </w:rPr>
              <w:t>+12,5 %</w:t>
            </w:r>
          </w:p>
        </w:tc>
        <w:tc>
          <w:tcPr>
            <w:tcW w:type="dxa" w:w="1624"/>
          </w:tcPr>
          <w:p>
            <w:r/>
            <w:r>
              <w:rPr>
                <w:sz w:val="18"/>
              </w:rPr>
              <w:t>4,7 %</w:t>
            </w:r>
          </w:p>
        </w:tc>
      </w:tr>
      <w:tr>
        <w:tc>
          <w:tcPr>
            <w:tcW w:type="dxa" w:w="1624"/>
          </w:tcPr>
          <w:p>
            <w:r/>
            <w:r>
              <w:rPr>
                <w:sz w:val="18"/>
              </w:rPr>
              <w:t>Direction administrative et financière</w:t>
            </w:r>
          </w:p>
        </w:tc>
        <w:tc>
          <w:tcPr>
            <w:tcW w:type="dxa" w:w="1624"/>
          </w:tcPr>
          <w:p>
            <w:r/>
            <w:r>
              <w:rPr>
                <w:sz w:val="18"/>
              </w:rPr>
              <w:t>8 900</w:t>
            </w:r>
          </w:p>
        </w:tc>
        <w:tc>
          <w:tcPr>
            <w:tcW w:type="dxa" w:w="1624"/>
          </w:tcPr>
          <w:p>
            <w:r/>
            <w:r>
              <w:rPr>
                <w:sz w:val="18"/>
              </w:rPr>
              <w:t>10 200</w:t>
            </w:r>
          </w:p>
        </w:tc>
        <w:tc>
          <w:tcPr>
            <w:tcW w:type="dxa" w:w="1624"/>
          </w:tcPr>
          <w:p>
            <w:r/>
            <w:r>
              <w:rPr>
                <w:sz w:val="18"/>
              </w:rPr>
              <w:t>9 600</w:t>
            </w:r>
          </w:p>
        </w:tc>
        <w:tc>
          <w:tcPr>
            <w:tcW w:type="dxa" w:w="1624"/>
          </w:tcPr>
          <w:p>
            <w:r/>
            <w:r>
              <w:rPr>
                <w:sz w:val="18"/>
              </w:rPr>
              <w:t>+7,9 %</w:t>
            </w:r>
          </w:p>
        </w:tc>
        <w:tc>
          <w:tcPr>
            <w:tcW w:type="dxa" w:w="1624"/>
          </w:tcPr>
          <w:p>
            <w:r/>
            <w:r>
              <w:rPr>
                <w:sz w:val="18"/>
              </w:rPr>
              <w:t>6,3 %</w:t>
            </w:r>
          </w:p>
        </w:tc>
      </w:tr>
      <w:tr>
        <w:tc>
          <w:tcPr>
            <w:tcW w:type="dxa" w:w="1624"/>
          </w:tcPr>
          <w:p>
            <w:r/>
            <w:r>
              <w:rPr>
                <w:sz w:val="18"/>
              </w:rPr>
              <w:t>Services généraux et immobilier</w:t>
            </w:r>
          </w:p>
        </w:tc>
        <w:tc>
          <w:tcPr>
            <w:tcW w:type="dxa" w:w="1624"/>
          </w:tcPr>
          <w:p>
            <w:r/>
            <w:r>
              <w:rPr>
                <w:sz w:val="18"/>
              </w:rPr>
              <w:t>11 100</w:t>
            </w:r>
          </w:p>
        </w:tc>
        <w:tc>
          <w:tcPr>
            <w:tcW w:type="dxa" w:w="1624"/>
          </w:tcPr>
          <w:p>
            <w:r/>
            <w:r>
              <w:rPr>
                <w:sz w:val="18"/>
              </w:rPr>
              <w:t>15 700</w:t>
            </w:r>
          </w:p>
        </w:tc>
        <w:tc>
          <w:tcPr>
            <w:tcW w:type="dxa" w:w="1624"/>
          </w:tcPr>
          <w:p>
            <w:r/>
            <w:r>
              <w:rPr>
                <w:sz w:val="18"/>
              </w:rPr>
              <w:t>9 600</w:t>
            </w:r>
          </w:p>
        </w:tc>
        <w:tc>
          <w:tcPr>
            <w:tcW w:type="dxa" w:w="1624"/>
          </w:tcPr>
          <w:p>
            <w:r/>
            <w:r>
              <w:rPr>
                <w:sz w:val="18"/>
              </w:rPr>
              <w:t>-13,5 %</w:t>
            </w:r>
          </w:p>
        </w:tc>
        <w:tc>
          <w:tcPr>
            <w:tcW w:type="dxa" w:w="1624"/>
          </w:tcPr>
          <w:p>
            <w:r/>
            <w:r>
              <w:rPr>
                <w:sz w:val="18"/>
              </w:rPr>
              <w:t>6,3 %</w:t>
            </w:r>
          </w:p>
        </w:tc>
      </w:tr>
      <w:tr>
        <w:tc>
          <w:tcPr>
            <w:tcW w:type="dxa" w:w="1624"/>
          </w:tcPr>
          <w:p>
            <w:r/>
            <w:r>
              <w:rPr>
                <w:sz w:val="18"/>
              </w:rPr>
              <w:t>Réserve et provisions</w:t>
            </w:r>
          </w:p>
        </w:tc>
        <w:tc>
          <w:tcPr>
            <w:tcW w:type="dxa" w:w="1624"/>
          </w:tcPr>
          <w:p>
            <w:r/>
            <w:r>
              <w:rPr>
                <w:sz w:val="18"/>
              </w:rPr>
              <w:t>2 700</w:t>
            </w:r>
          </w:p>
        </w:tc>
        <w:tc>
          <w:tcPr>
            <w:tcW w:type="dxa" w:w="1624"/>
          </w:tcPr>
          <w:p>
            <w:r/>
            <w:r>
              <w:rPr>
                <w:sz w:val="18"/>
              </w:rPr>
              <w:t>10 000</w:t>
            </w:r>
          </w:p>
        </w:tc>
        <w:tc>
          <w:tcPr>
            <w:tcW w:type="dxa" w:w="1624"/>
          </w:tcPr>
          <w:p>
            <w:r/>
            <w:r>
              <w:rPr>
                <w:sz w:val="18"/>
              </w:rPr>
              <w:t>5 500</w:t>
            </w:r>
          </w:p>
        </w:tc>
        <w:tc>
          <w:tcPr>
            <w:tcW w:type="dxa" w:w="1624"/>
          </w:tcPr>
          <w:p>
            <w:r/>
            <w:r>
              <w:rPr>
                <w:sz w:val="18"/>
              </w:rPr>
              <w:t>+103,7 %</w:t>
            </w:r>
          </w:p>
        </w:tc>
        <w:tc>
          <w:tcPr>
            <w:tcW w:type="dxa" w:w="1624"/>
          </w:tcPr>
          <w:p>
            <w:r/>
            <w:r>
              <w:rPr>
                <w:sz w:val="18"/>
              </w:rPr>
              <w:t>3,6 %</w:t>
            </w:r>
          </w:p>
        </w:tc>
      </w:tr>
      <w:tr>
        <w:tc>
          <w:tcPr>
            <w:tcW w:type="dxa" w:w="1624"/>
          </w:tcPr>
          <w:p>
            <w:r/>
            <w:r>
              <w:rPr>
                <w:sz w:val="18"/>
              </w:rPr>
              <w:t>Total</w:t>
            </w:r>
          </w:p>
        </w:tc>
        <w:tc>
          <w:tcPr>
            <w:tcW w:type="dxa" w:w="1624"/>
          </w:tcPr>
          <w:p>
            <w:r/>
            <w:r>
              <w:rPr>
                <w:sz w:val="18"/>
              </w:rPr>
              <w:t>136 100</w:t>
            </w:r>
          </w:p>
        </w:tc>
        <w:tc>
          <w:tcPr>
            <w:tcW w:type="dxa" w:w="1624"/>
          </w:tcPr>
          <w:p>
            <w:r/>
            <w:r>
              <w:rPr>
                <w:sz w:val="18"/>
              </w:rPr>
              <w:t>178 400</w:t>
            </w:r>
          </w:p>
        </w:tc>
        <w:tc>
          <w:tcPr>
            <w:tcW w:type="dxa" w:w="1624"/>
          </w:tcPr>
          <w:p>
            <w:r/>
            <w:r>
              <w:rPr>
                <w:sz w:val="18"/>
              </w:rPr>
              <w:t>152 100</w:t>
            </w:r>
          </w:p>
        </w:tc>
        <w:tc>
          <w:tcPr>
            <w:tcW w:type="dxa" w:w="1624"/>
          </w:tcPr>
          <w:p>
            <w:r/>
            <w:r>
              <w:rPr>
                <w:sz w:val="18"/>
              </w:rPr>
              <w:t>+11,8 %</w:t>
            </w:r>
          </w:p>
        </w:tc>
        <w:tc>
          <w:tcPr>
            <w:tcW w:type="dxa" w:w="1624"/>
          </w:tcPr>
          <w:p>
            <w:r/>
            <w:r>
              <w:rPr>
                <w:sz w:val="18"/>
              </w:rPr>
              <w:t>100,0 %</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Aucun report de crédit non consommé n'est autorisé sur l'exercice suivant. Cette règle vise à décourager les engagements de fin d'exercice sans utilité opérationnelle démontrée.</w:t>
            </w:r>
          </w:p>
        </w:tc>
      </w:tr>
    </w:tbl>
    <w:p/>
    <w:p>
      <w:r>
        <w:br w:type="page"/>
      </w:r>
    </w:p>
    <w:p>
      <w:pPr>
        <w:pStyle w:val="Heading1"/>
      </w:pPr>
      <w:r>
        <w:rPr>
          <w:color w:val="4A4A4A"/>
        </w:rPr>
        <w:t>12. Décisions, actions assignées et prochaines étapes</w:t>
      </w:r>
    </w:p>
    <w:p>
      <w:r>
        <w:rPr>
          <w:i/>
          <w:color w:val="555555"/>
        </w:rPr>
        <w:t>Douze actions assignées avec responsable et échéance, revues au comité budgétaire mensuel.</w:t>
      </w:r>
    </w:p>
    <w:p>
      <w:r>
        <w:t>La directrice générale clôt la séance à 13 h 25 en récapitulant les six décisions structurantes. L'enveloppe d'infrastructure d'intelligence artificielle est fixée à 4,3 MEUR avec un palier conditionnel de 1,4 MEUR. Quarante-deux créations de postes sont validées sur cinquante-huit demandées. Le budget marketing est maintenu en progression limitée avec une réallocation vers les canaux organiques. Le réaménagement du siège est reporté à 2028 avec une étude de faisabilité financée. Dix-huit pour cent des capacités de développement sont sanctuarisés sur la dette technique. La réserve de gestion est portée à 3,5 MEUR.</w:t>
      </w:r>
    </w:p>
    <w:p>
      <w:r>
        <w:t>Elle rappelle le calendrier de la suite du processus. Les enveloppes définitives sont notifiées aux directions le 25 juin. La déclinaison par centre de coût est attendue pour le 17 juillet. Le budget consolidé est présenté au comité d'audit le 4 septembre puis au conseil d'administration pour approbation le 24 septembre. La présentation aux équipes doit intervenir avant le 10 juillet, sous la responsabilité de chaque directeur.</w:t>
      </w:r>
    </w:p>
    <w:p>
      <w:r>
        <w:t>Le prochain comité budgétaire mensuel se tiendra le 9 juillet et portera sur l'atterrissage actualisé de l'exercice en cours et le suivi des actions assignées. Une séance complémentaire d'arbitrage est réservée au 3 septembre en cas de nécessité de révision avant la présentation au conseil, notamment si les résultats du troisième trimestre s'écartaient significativement des hypothèses retenues.</w:t>
      </w:r>
    </w:p>
    <w:p>
      <w:pPr>
        <w:pStyle w:val="Heading2"/>
      </w:pPr>
      <w:r>
        <w:t>Calendrier des prochaines échéances</w:t>
      </w:r>
    </w:p>
    <w:p>
      <w:pPr>
        <w:pStyle w:val="ListBullet"/>
        <w:spacing w:after="60"/>
      </w:pPr>
      <w:r>
        <w:t>25 juin 2026 : notification des enveloppes définitives aux directions.</w:t>
      </w:r>
    </w:p>
    <w:p>
      <w:pPr>
        <w:pStyle w:val="ListBullet"/>
        <w:spacing w:after="60"/>
      </w:pPr>
      <w:r>
        <w:t>9 juillet 2026 : comité budgétaire mensuel, atterrissage actualisé et suivi des actions.</w:t>
      </w:r>
    </w:p>
    <w:p>
      <w:pPr>
        <w:pStyle w:val="ListBullet"/>
        <w:spacing w:after="60"/>
      </w:pPr>
      <w:r>
        <w:t>17 juillet 2026 : déclinaison des enveloppes par centre de coût.</w:t>
      </w:r>
    </w:p>
    <w:p>
      <w:pPr>
        <w:pStyle w:val="ListBullet"/>
        <w:spacing w:after="60"/>
      </w:pPr>
      <w:r>
        <w:t>3 septembre 2026 : séance complémentaire d'arbitrage si nécessaire.</w:t>
      </w:r>
    </w:p>
    <w:p>
      <w:pPr>
        <w:pStyle w:val="ListBullet"/>
        <w:spacing w:after="60"/>
      </w:pPr>
      <w:r>
        <w:t>4 septembre 2026 : présentation du budget consolidé au comité d'audit.</w:t>
      </w:r>
    </w:p>
    <w:p>
      <w:pPr>
        <w:pStyle w:val="ListBullet"/>
        <w:spacing w:after="60"/>
      </w:pPr>
      <w:r>
        <w:t>24 septembre 2026 : approbation du budget par le conseil d'administration.</w:t>
      </w:r>
    </w:p>
    <w:p>
      <w:pPr>
        <w:pStyle w:val="Heading2"/>
      </w:pPr>
      <w:r>
        <w:t>Actions assignées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4A4A4A"/>
          </w:tcPr>
          <w:p>
            <w:r/>
            <w:r>
              <w:rPr>
                <w:b/>
                <w:color w:val="FFFFFF"/>
                <w:sz w:val="18"/>
              </w:rPr>
              <w:t>N°</w:t>
            </w:r>
          </w:p>
        </w:tc>
        <w:tc>
          <w:tcPr>
            <w:tcW w:type="dxa" w:w="2436"/>
            <w:shd w:val="clear" w:color="auto" w:fill="4A4A4A"/>
          </w:tcPr>
          <w:p>
            <w:r/>
            <w:r>
              <w:rPr>
                <w:b/>
                <w:color w:val="FFFFFF"/>
                <w:sz w:val="18"/>
              </w:rPr>
              <w:t>Action</w:t>
            </w:r>
          </w:p>
        </w:tc>
        <w:tc>
          <w:tcPr>
            <w:tcW w:type="dxa" w:w="2436"/>
            <w:shd w:val="clear" w:color="auto" w:fill="4A4A4A"/>
          </w:tcPr>
          <w:p>
            <w:r/>
            <w:r>
              <w:rPr>
                <w:b/>
                <w:color w:val="FFFFFF"/>
                <w:sz w:val="18"/>
              </w:rPr>
              <w:t>Responsable</w:t>
            </w:r>
          </w:p>
        </w:tc>
        <w:tc>
          <w:tcPr>
            <w:tcW w:type="dxa" w:w="2436"/>
            <w:shd w:val="clear" w:color="auto" w:fill="4A4A4A"/>
          </w:tcPr>
          <w:p>
            <w:r/>
            <w:r>
              <w:rPr>
                <w:b/>
                <w:color w:val="FFFFFF"/>
                <w:sz w:val="18"/>
              </w:rPr>
              <w:t>Échéance</w:t>
            </w:r>
          </w:p>
        </w:tc>
      </w:tr>
      <w:tr>
        <w:tc>
          <w:tcPr>
            <w:tcW w:type="dxa" w:w="2436"/>
          </w:tcPr>
          <w:p>
            <w:r/>
            <w:r>
              <w:rPr>
                <w:sz w:val="18"/>
              </w:rPr>
              <w:t>A1</w:t>
            </w:r>
          </w:p>
        </w:tc>
        <w:tc>
          <w:tcPr>
            <w:tcW w:type="dxa" w:w="2436"/>
          </w:tcPr>
          <w:p>
            <w:r/>
            <w:r>
              <w:rPr>
                <w:sz w:val="18"/>
              </w:rPr>
              <w:t>Notifier les enveloppes définitives aux directions</w:t>
            </w:r>
          </w:p>
        </w:tc>
        <w:tc>
          <w:tcPr>
            <w:tcW w:type="dxa" w:w="2436"/>
          </w:tcPr>
          <w:p>
            <w:r/>
            <w:r>
              <w:rPr>
                <w:sz w:val="18"/>
              </w:rPr>
              <w:t>A. Nguyen</w:t>
            </w:r>
          </w:p>
        </w:tc>
        <w:tc>
          <w:tcPr>
            <w:tcW w:type="dxa" w:w="2436"/>
          </w:tcPr>
          <w:p>
            <w:r/>
            <w:r>
              <w:rPr>
                <w:sz w:val="18"/>
              </w:rPr>
              <w:t>25 juin 2026</w:t>
            </w:r>
          </w:p>
        </w:tc>
      </w:tr>
      <w:tr>
        <w:tc>
          <w:tcPr>
            <w:tcW w:type="dxa" w:w="2436"/>
          </w:tcPr>
          <w:p>
            <w:r/>
            <w:r>
              <w:rPr>
                <w:sz w:val="18"/>
              </w:rPr>
              <w:t>A2</w:t>
            </w:r>
          </w:p>
        </w:tc>
        <w:tc>
          <w:tcPr>
            <w:tcW w:type="dxa" w:w="2436"/>
          </w:tcPr>
          <w:p>
            <w:r/>
            <w:r>
              <w:rPr>
                <w:sz w:val="18"/>
              </w:rPr>
              <w:t>Présenter les arbitrages aux équipes de chaque direction</w:t>
            </w:r>
          </w:p>
        </w:tc>
        <w:tc>
          <w:tcPr>
            <w:tcW w:type="dxa" w:w="2436"/>
          </w:tcPr>
          <w:p>
            <w:r/>
            <w:r>
              <w:rPr>
                <w:sz w:val="18"/>
              </w:rPr>
              <w:t>Chaque directeur</w:t>
            </w:r>
          </w:p>
        </w:tc>
        <w:tc>
          <w:tcPr>
            <w:tcW w:type="dxa" w:w="2436"/>
          </w:tcPr>
          <w:p>
            <w:r/>
            <w:r>
              <w:rPr>
                <w:sz w:val="18"/>
              </w:rPr>
              <w:t>10 juillet 2026</w:t>
            </w:r>
          </w:p>
        </w:tc>
      </w:tr>
      <w:tr>
        <w:tc>
          <w:tcPr>
            <w:tcW w:type="dxa" w:w="2436"/>
          </w:tcPr>
          <w:p>
            <w:r/>
            <w:r>
              <w:rPr>
                <w:sz w:val="18"/>
              </w:rPr>
              <w:t>A3</w:t>
            </w:r>
          </w:p>
        </w:tc>
        <w:tc>
          <w:tcPr>
            <w:tcW w:type="dxa" w:w="2436"/>
          </w:tcPr>
          <w:p>
            <w:r/>
            <w:r>
              <w:rPr>
                <w:sz w:val="18"/>
              </w:rPr>
              <w:t>Décliner les enveloppes par centre de coût</w:t>
            </w:r>
          </w:p>
        </w:tc>
        <w:tc>
          <w:tcPr>
            <w:tcW w:type="dxa" w:w="2436"/>
          </w:tcPr>
          <w:p>
            <w:r/>
            <w:r>
              <w:rPr>
                <w:sz w:val="18"/>
              </w:rPr>
              <w:t>Chaque directeur</w:t>
            </w:r>
          </w:p>
        </w:tc>
        <w:tc>
          <w:tcPr>
            <w:tcW w:type="dxa" w:w="2436"/>
          </w:tcPr>
          <w:p>
            <w:r/>
            <w:r>
              <w:rPr>
                <w:sz w:val="18"/>
              </w:rPr>
              <w:t>17 juillet 2026</w:t>
            </w:r>
          </w:p>
        </w:tc>
      </w:tr>
      <w:tr>
        <w:tc>
          <w:tcPr>
            <w:tcW w:type="dxa" w:w="2436"/>
          </w:tcPr>
          <w:p>
            <w:r/>
            <w:r>
              <w:rPr>
                <w:sz w:val="18"/>
              </w:rPr>
              <w:t>A4</w:t>
            </w:r>
          </w:p>
        </w:tc>
        <w:tc>
          <w:tcPr>
            <w:tcW w:type="dxa" w:w="2436"/>
          </w:tcPr>
          <w:p>
            <w:r/>
            <w:r>
              <w:rPr>
                <w:sz w:val="18"/>
              </w:rPr>
              <w:t>Définir les indicateurs de suivi du coût d'inférence par requête</w:t>
            </w:r>
          </w:p>
        </w:tc>
        <w:tc>
          <w:tcPr>
            <w:tcW w:type="dxa" w:w="2436"/>
          </w:tcPr>
          <w:p>
            <w:r/>
            <w:r>
              <w:rPr>
                <w:sz w:val="18"/>
              </w:rPr>
              <w:t>J. Marchetti</w:t>
            </w:r>
          </w:p>
        </w:tc>
        <w:tc>
          <w:tcPr>
            <w:tcW w:type="dxa" w:w="2436"/>
          </w:tcPr>
          <w:p>
            <w:r/>
            <w:r>
              <w:rPr>
                <w:sz w:val="18"/>
              </w:rPr>
              <w:t>31 juillet 2026</w:t>
            </w:r>
          </w:p>
        </w:tc>
      </w:tr>
      <w:tr>
        <w:tc>
          <w:tcPr>
            <w:tcW w:type="dxa" w:w="2436"/>
          </w:tcPr>
          <w:p>
            <w:r/>
            <w:r>
              <w:rPr>
                <w:sz w:val="18"/>
              </w:rPr>
              <w:t>A5</w:t>
            </w:r>
          </w:p>
        </w:tc>
        <w:tc>
          <w:tcPr>
            <w:tcW w:type="dxa" w:w="2436"/>
          </w:tcPr>
          <w:p>
            <w:r/>
            <w:r>
              <w:rPr>
                <w:sz w:val="18"/>
              </w:rPr>
              <w:t>Analyser le positionnement salarial des 4 postes non pourvus</w:t>
            </w:r>
          </w:p>
        </w:tc>
        <w:tc>
          <w:tcPr>
            <w:tcW w:type="dxa" w:w="2436"/>
          </w:tcPr>
          <w:p>
            <w:r/>
            <w:r>
              <w:rPr>
                <w:sz w:val="18"/>
              </w:rPr>
              <w:t>É. Marchand</w:t>
            </w:r>
          </w:p>
        </w:tc>
        <w:tc>
          <w:tcPr>
            <w:tcW w:type="dxa" w:w="2436"/>
          </w:tcPr>
          <w:p>
            <w:r/>
            <w:r>
              <w:rPr>
                <w:sz w:val="18"/>
              </w:rPr>
              <w:t>15 juillet 2026</w:t>
            </w:r>
          </w:p>
        </w:tc>
      </w:tr>
      <w:tr>
        <w:tc>
          <w:tcPr>
            <w:tcW w:type="dxa" w:w="2436"/>
          </w:tcPr>
          <w:p>
            <w:r/>
            <w:r>
              <w:rPr>
                <w:sz w:val="18"/>
              </w:rPr>
              <w:t>A6</w:t>
            </w:r>
          </w:p>
        </w:tc>
        <w:tc>
          <w:tcPr>
            <w:tcW w:type="dxa" w:w="2436"/>
          </w:tcPr>
          <w:p>
            <w:r/>
            <w:r>
              <w:rPr>
                <w:sz w:val="18"/>
              </w:rPr>
              <w:t>Produire l'analyse d'attribution multi-touches marketing</w:t>
            </w:r>
          </w:p>
        </w:tc>
        <w:tc>
          <w:tcPr>
            <w:tcW w:type="dxa" w:w="2436"/>
          </w:tcPr>
          <w:p>
            <w:r/>
            <w:r>
              <w:rPr>
                <w:sz w:val="18"/>
              </w:rPr>
              <w:t>M. Aubert</w:t>
            </w:r>
          </w:p>
        </w:tc>
        <w:tc>
          <w:tcPr>
            <w:tcW w:type="dxa" w:w="2436"/>
          </w:tcPr>
          <w:p>
            <w:r/>
            <w:r>
              <w:rPr>
                <w:sz w:val="18"/>
              </w:rPr>
              <w:t>5 septembre 2026</w:t>
            </w:r>
          </w:p>
        </w:tc>
      </w:tr>
      <w:tr>
        <w:tc>
          <w:tcPr>
            <w:tcW w:type="dxa" w:w="2436"/>
          </w:tcPr>
          <w:p>
            <w:r/>
            <w:r>
              <w:rPr>
                <w:sz w:val="18"/>
              </w:rPr>
              <w:t>A7</w:t>
            </w:r>
          </w:p>
        </w:tc>
        <w:tc>
          <w:tcPr>
            <w:tcW w:type="dxa" w:w="2436"/>
          </w:tcPr>
          <w:p>
            <w:r/>
            <w:r>
              <w:rPr>
                <w:sz w:val="18"/>
              </w:rPr>
              <w:t>Lancer l'étude de faisabilité du réaménagement du siège</w:t>
            </w:r>
          </w:p>
        </w:tc>
        <w:tc>
          <w:tcPr>
            <w:tcW w:type="dxa" w:w="2436"/>
          </w:tcPr>
          <w:p>
            <w:r/>
            <w:r>
              <w:rPr>
                <w:sz w:val="18"/>
              </w:rPr>
              <w:t>Services généraux</w:t>
            </w:r>
          </w:p>
        </w:tc>
        <w:tc>
          <w:tcPr>
            <w:tcW w:type="dxa" w:w="2436"/>
          </w:tcPr>
          <w:p>
            <w:r/>
            <w:r>
              <w:rPr>
                <w:sz w:val="18"/>
              </w:rPr>
              <w:t>30 septembre 2026</w:t>
            </w:r>
          </w:p>
        </w:tc>
      </w:tr>
      <w:tr>
        <w:tc>
          <w:tcPr>
            <w:tcW w:type="dxa" w:w="2436"/>
          </w:tcPr>
          <w:p>
            <w:r/>
            <w:r>
              <w:rPr>
                <w:sz w:val="18"/>
              </w:rPr>
              <w:t>A8</w:t>
            </w:r>
          </w:p>
        </w:tc>
        <w:tc>
          <w:tcPr>
            <w:tcW w:type="dxa" w:w="2436"/>
          </w:tcPr>
          <w:p>
            <w:r/>
            <w:r>
              <w:rPr>
                <w:sz w:val="18"/>
              </w:rPr>
              <w:t>Engager la reprise du réseau de plomberie du bâtiment B</w:t>
            </w:r>
          </w:p>
        </w:tc>
        <w:tc>
          <w:tcPr>
            <w:tcW w:type="dxa" w:w="2436"/>
          </w:tcPr>
          <w:p>
            <w:r/>
            <w:r>
              <w:rPr>
                <w:sz w:val="18"/>
              </w:rPr>
              <w:t>Services généraux</w:t>
            </w:r>
          </w:p>
        </w:tc>
        <w:tc>
          <w:tcPr>
            <w:tcW w:type="dxa" w:w="2436"/>
          </w:tcPr>
          <w:p>
            <w:r/>
            <w:r>
              <w:rPr>
                <w:sz w:val="18"/>
              </w:rPr>
              <w:t>1er septembre 2026</w:t>
            </w:r>
          </w:p>
        </w:tc>
      </w:tr>
      <w:tr>
        <w:tc>
          <w:tcPr>
            <w:tcW w:type="dxa" w:w="2436"/>
          </w:tcPr>
          <w:p>
            <w:r/>
            <w:r>
              <w:rPr>
                <w:sz w:val="18"/>
              </w:rPr>
              <w:t>A9</w:t>
            </w:r>
          </w:p>
        </w:tc>
        <w:tc>
          <w:tcPr>
            <w:tcW w:type="dxa" w:w="2436"/>
          </w:tcPr>
          <w:p>
            <w:r/>
            <w:r>
              <w:rPr>
                <w:sz w:val="18"/>
              </w:rPr>
              <w:t>Intégrer la sanctuarisation de 18 % au processus de planification</w:t>
            </w:r>
          </w:p>
        </w:tc>
        <w:tc>
          <w:tcPr>
            <w:tcW w:type="dxa" w:w="2436"/>
          </w:tcPr>
          <w:p>
            <w:r/>
            <w:r>
              <w:rPr>
                <w:sz w:val="18"/>
              </w:rPr>
              <w:t>J. Marchetti</w:t>
            </w:r>
          </w:p>
        </w:tc>
        <w:tc>
          <w:tcPr>
            <w:tcW w:type="dxa" w:w="2436"/>
          </w:tcPr>
          <w:p>
            <w:r/>
            <w:r>
              <w:rPr>
                <w:sz w:val="18"/>
              </w:rPr>
              <w:t>31 août 2026</w:t>
            </w:r>
          </w:p>
        </w:tc>
      </w:tr>
      <w:tr>
        <w:tc>
          <w:tcPr>
            <w:tcW w:type="dxa" w:w="2436"/>
          </w:tcPr>
          <w:p>
            <w:r/>
            <w:r>
              <w:rPr>
                <w:sz w:val="18"/>
              </w:rPr>
              <w:t>A10</w:t>
            </w:r>
          </w:p>
        </w:tc>
        <w:tc>
          <w:tcPr>
            <w:tcW w:type="dxa" w:w="2436"/>
          </w:tcPr>
          <w:p>
            <w:r/>
            <w:r>
              <w:rPr>
                <w:sz w:val="18"/>
              </w:rPr>
              <w:t>Réviser le plan de formation avec objectif de consommation à 92 %</w:t>
            </w:r>
          </w:p>
        </w:tc>
        <w:tc>
          <w:tcPr>
            <w:tcW w:type="dxa" w:w="2436"/>
          </w:tcPr>
          <w:p>
            <w:r/>
            <w:r>
              <w:rPr>
                <w:sz w:val="18"/>
              </w:rPr>
              <w:t>É. Marchand</w:t>
            </w:r>
          </w:p>
        </w:tc>
        <w:tc>
          <w:tcPr>
            <w:tcW w:type="dxa" w:w="2436"/>
          </w:tcPr>
          <w:p>
            <w:r/>
            <w:r>
              <w:rPr>
                <w:sz w:val="18"/>
              </w:rPr>
              <w:t>30 septembre 2026</w:t>
            </w:r>
          </w:p>
        </w:tc>
      </w:tr>
      <w:tr>
        <w:tc>
          <w:tcPr>
            <w:tcW w:type="dxa" w:w="2436"/>
          </w:tcPr>
          <w:p>
            <w:r/>
            <w:r>
              <w:rPr>
                <w:sz w:val="18"/>
              </w:rPr>
              <w:t>A11</w:t>
            </w:r>
          </w:p>
        </w:tc>
        <w:tc>
          <w:tcPr>
            <w:tcW w:type="dxa" w:w="2436"/>
          </w:tcPr>
          <w:p>
            <w:r/>
            <w:r>
              <w:rPr>
                <w:sz w:val="18"/>
              </w:rPr>
              <w:t>Formaliser la doctrine d'usage de la réserve de gestion</w:t>
            </w:r>
          </w:p>
        </w:tc>
        <w:tc>
          <w:tcPr>
            <w:tcW w:type="dxa" w:w="2436"/>
          </w:tcPr>
          <w:p>
            <w:r/>
            <w:r>
              <w:rPr>
                <w:sz w:val="18"/>
              </w:rPr>
              <w:t>T. Levasseur</w:t>
            </w:r>
          </w:p>
        </w:tc>
        <w:tc>
          <w:tcPr>
            <w:tcW w:type="dxa" w:w="2436"/>
          </w:tcPr>
          <w:p>
            <w:r/>
            <w:r>
              <w:rPr>
                <w:sz w:val="18"/>
              </w:rPr>
              <w:t>31 juillet 2026</w:t>
            </w:r>
          </w:p>
        </w:tc>
      </w:tr>
      <w:tr>
        <w:tc>
          <w:tcPr>
            <w:tcW w:type="dxa" w:w="2436"/>
          </w:tcPr>
          <w:p>
            <w:r/>
            <w:r>
              <w:rPr>
                <w:sz w:val="18"/>
              </w:rPr>
              <w:t>A12</w:t>
            </w:r>
          </w:p>
        </w:tc>
        <w:tc>
          <w:tcPr>
            <w:tcW w:type="dxa" w:w="2436"/>
          </w:tcPr>
          <w:p>
            <w:r/>
            <w:r>
              <w:rPr>
                <w:sz w:val="18"/>
              </w:rPr>
              <w:t>Préparer la présentation au comité d'audit du 4 septembre</w:t>
            </w:r>
          </w:p>
        </w:tc>
        <w:tc>
          <w:tcPr>
            <w:tcW w:type="dxa" w:w="2436"/>
          </w:tcPr>
          <w:p>
            <w:r/>
            <w:r>
              <w:rPr>
                <w:sz w:val="18"/>
              </w:rPr>
              <w:t>T. Levasseur</w:t>
            </w:r>
          </w:p>
        </w:tc>
        <w:tc>
          <w:tcPr>
            <w:tcW w:type="dxa" w:w="2436"/>
          </w:tcPr>
          <w:p>
            <w:r/>
            <w:r>
              <w:rPr>
                <w:sz w:val="18"/>
              </w:rPr>
              <w:t>28 août 2026</w:t>
            </w:r>
          </w:p>
        </w:tc>
      </w:tr>
    </w:tbl>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sz w:val="16"/>
      </w:rPr>
      <w:t>DAF-CR-2026-047 — Confidentiel — Comité de direction et directions concernées</w:t>
      <w:tab/>
      <w:tab/>
      <w:t xml:space="preserve">Page </w:t>
    </w:r>
    <w:r>
      <w:rPr>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de la réunion d'arbitrage budgétaire annuel</dc:title>
  <dc:subject>Séance du 18 juin 2026 — Construction du budget 2027 et arbitrages d'enveloppes</dc:subject>
  <dc:creator>Contrôle de gestion — Aurélie Nguyen, responsable planification budgétaire</dc:creator>
  <cp:keywords>budget, arbitrage, enveloppe, hébergement IA, masse salariale, investissement, réserve de gestion, comité de direction, cadrage</cp:keywords>
  <dc:description>Compte rendu de la réunion d'arbitrage budgétaire tenue le 18 juin 2026 de 9 h 00 à 13 h 30 en salle du conseil, sous la présidence du directeur général. La séance avait pour objet d'examiner les demandes budgétaires 2027 des sept directions, de pro…</dc:description>
  <cp:lastModifiedBy/>
  <cp:revision>1</cp:revision>
  <dcterms:created xsi:type="dcterms:W3CDTF">2013-12-23T23:15:00Z</dcterms:created>
  <dcterms:modified xsi:type="dcterms:W3CDTF">2013-12-23T23:15:00Z</dcterms:modified>
  <cp:category>budget</cp:category>
</cp:coreProperties>
</file>