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8A2B06"/>
          <w:sz w:val="48"/>
        </w:rPr>
        <w:t>Procédure d'escalade et de gestion des incidents de production</w:t>
      </w:r>
    </w:p>
    <w:p>
      <w:pPr>
        <w:jc w:val="center"/>
      </w:pPr>
      <w:r>
        <w:rPr>
          <w:i/>
          <w:color w:val="444444"/>
          <w:sz w:val="25"/>
        </w:rPr>
        <w:t>Niveaux N1, N2 et N3, engagements de service, astreintes et gestion de crise</w:t>
      </w:r>
    </w:p>
    <w:p/>
    <w:tbl>
      <w:tblPr>
        <w:tblStyle w:val="TableGrid"/>
        <w:tblW w:type="auto" w:w="0"/>
        <w:tblLook w:firstColumn="1" w:firstRow="1" w:lastColumn="0" w:lastRow="0" w:noHBand="0" w:noVBand="1" w:val="04A0"/>
      </w:tblPr>
      <w:tblGrid>
        <w:gridCol w:w="4873"/>
        <w:gridCol w:w="4873"/>
      </w:tblGrid>
      <w:tr>
        <w:tc>
          <w:tcPr>
            <w:tcW w:type="dxa" w:w="4873"/>
            <w:shd w:val="clear" w:color="auto" w:fill="F2F4F7"/>
          </w:tcPr>
          <w:p>
            <w:r/>
            <w:r>
              <w:rPr>
                <w:b/>
              </w:rPr>
              <w:t>Référence</w:t>
            </w:r>
          </w:p>
        </w:tc>
        <w:tc>
          <w:tcPr>
            <w:tcW w:type="dxa" w:w="4873"/>
          </w:tcPr>
          <w:p>
            <w:r>
              <w:t>OPS-PRO-2026-023</w:t>
            </w:r>
          </w:p>
        </w:tc>
      </w:tr>
      <w:tr>
        <w:tc>
          <w:tcPr>
            <w:tcW w:type="dxa" w:w="4873"/>
            <w:shd w:val="clear" w:color="auto" w:fill="F2F4F7"/>
          </w:tcPr>
          <w:p>
            <w:r/>
            <w:r>
              <w:rPr>
                <w:b/>
              </w:rPr>
              <w:t>Version</w:t>
            </w:r>
          </w:p>
        </w:tc>
        <w:tc>
          <w:tcPr>
            <w:tcW w:type="dxa" w:w="4873"/>
          </w:tcPr>
          <w:p>
            <w:r>
              <w:t>7.1</w:t>
            </w:r>
          </w:p>
        </w:tc>
      </w:tr>
      <w:tr>
        <w:tc>
          <w:tcPr>
            <w:tcW w:type="dxa" w:w="4873"/>
            <w:shd w:val="clear" w:color="auto" w:fill="F2F4F7"/>
          </w:tcPr>
          <w:p>
            <w:r/>
            <w:r>
              <w:rPr>
                <w:b/>
              </w:rPr>
              <w:t>Auteur</w:t>
            </w:r>
          </w:p>
        </w:tc>
        <w:tc>
          <w:tcPr>
            <w:tcW w:type="dxa" w:w="4873"/>
          </w:tcPr>
          <w:p>
            <w:r>
              <w:t>Direction des Opérations — Farid Benali, responsable service delivery</w:t>
            </w:r>
          </w:p>
        </w:tc>
      </w:tr>
      <w:tr>
        <w:tc>
          <w:tcPr>
            <w:tcW w:type="dxa" w:w="4873"/>
            <w:shd w:val="clear" w:color="auto" w:fill="F2F4F7"/>
          </w:tcPr>
          <w:p>
            <w:r/>
            <w:r>
              <w:rPr>
                <w:b/>
              </w:rPr>
              <w:t>Entité</w:t>
            </w:r>
          </w:p>
        </w:tc>
        <w:tc>
          <w:tcPr>
            <w:tcW w:type="dxa" w:w="4873"/>
          </w:tcPr>
          <w:p>
            <w:r>
              <w:t>Direction des Opérations — Centre de Services</w:t>
            </w:r>
          </w:p>
        </w:tc>
      </w:tr>
      <w:tr>
        <w:tc>
          <w:tcPr>
            <w:tcW w:type="dxa" w:w="4873"/>
            <w:shd w:val="clear" w:color="auto" w:fill="F2F4F7"/>
          </w:tcPr>
          <w:p>
            <w:r/>
            <w:r>
              <w:rPr>
                <w:b/>
              </w:rPr>
              <w:t>Date</w:t>
            </w:r>
          </w:p>
        </w:tc>
        <w:tc>
          <w:tcPr>
            <w:tcW w:type="dxa" w:w="4873"/>
          </w:tcPr>
          <w:p>
            <w:r>
              <w:t>30/06/2026</w:t>
            </w:r>
          </w:p>
        </w:tc>
      </w:tr>
      <w:tr>
        <w:tc>
          <w:tcPr>
            <w:tcW w:type="dxa" w:w="4873"/>
            <w:shd w:val="clear" w:color="auto" w:fill="F2F4F7"/>
          </w:tcPr>
          <w:p>
            <w:r/>
            <w:r>
              <w:rPr>
                <w:b/>
              </w:rPr>
              <w:t>Diffusion</w:t>
            </w:r>
          </w:p>
        </w:tc>
        <w:tc>
          <w:tcPr>
            <w:tcW w:type="dxa" w:w="4873"/>
          </w:tcPr>
          <w:p>
            <w:r>
              <w:t>Interne — Équipes support, exploitation et astreinte</w:t>
            </w:r>
          </w:p>
        </w:tc>
      </w:tr>
    </w:tbl>
    <w:p/>
    <w:p>
      <w:r>
        <w:rPr>
          <w:b/>
        </w:rPr>
        <w:t>Résumé</w:t>
      </w:r>
    </w:p>
    <w:p>
      <w:r>
        <w:t>Cette procédure décrit l'organisation de la prise en charge des incidents affectant les services en production, depuis leur signalement jusqu'à leur clôture et leur analyse post-incident. Elle définit les trois niveaux de support N1, N2 et N3, leurs périmètres d'intervention respectifs et les critères déclenchant le passage d'un niveau au suivant. Elle fixe la matrice de criticité fondée sur l'impact et l'urgence, les engagements de délai de prise en charge et de résolution associés à chaque niveau de priorité, les mécanismes d'escalade fonctionnelle et hiérarchique, l'organisation des astreintes, la conduite des incidents majeurs en cellule de crise, ainsi que le processus de retour d'expérience et de gestion des problèmes sous-jacents.</w:t>
      </w:r>
    </w:p>
    <w:p>
      <w:r>
        <w:rPr>
          <w:b/>
        </w:rPr>
        <w:t xml:space="preserve">Mots-clés : </w:t>
      </w:r>
      <w:r>
        <w:rPr>
          <w:i/>
        </w:rPr>
        <w:t>incident · escalade · N1 · N2 · N3 · astreinte · SLA · criticité · cellule de crise · post-mortem</w:t>
      </w:r>
    </w:p>
    <w:p>
      <w:r>
        <w:br w:type="page"/>
      </w:r>
    </w:p>
    <w:p>
      <w:pPr>
        <w:pStyle w:val="Heading1"/>
      </w:pPr>
      <w:r>
        <w:rPr>
          <w:color w:val="8A2B06"/>
        </w:rPr>
        <w:t>Sommaire</w:t>
      </w:r>
    </w:p>
    <w:p>
      <w:pPr>
        <w:pStyle w:val="ListNumber"/>
        <w:spacing w:after="60"/>
      </w:pPr>
      <w:r>
        <w:t>Objet, périmètre d'application et définitions</w:t>
      </w:r>
    </w:p>
    <w:p>
      <w:pPr>
        <w:pStyle w:val="ListNumber"/>
        <w:spacing w:after="60"/>
      </w:pPr>
      <w:r>
        <w:t>Organisation du support en trois niveaux</w:t>
      </w:r>
    </w:p>
    <w:p>
      <w:pPr>
        <w:pStyle w:val="ListNumber"/>
        <w:spacing w:after="60"/>
      </w:pPr>
      <w:r>
        <w:t>Qualification des incidents et matrice de criticité</w:t>
      </w:r>
    </w:p>
    <w:p>
      <w:pPr>
        <w:pStyle w:val="ListNumber"/>
        <w:spacing w:after="60"/>
      </w:pPr>
      <w:r>
        <w:t>Cycle de vie d'un incident et responsabilités</w:t>
      </w:r>
    </w:p>
    <w:p>
      <w:pPr>
        <w:pStyle w:val="ListNumber"/>
        <w:spacing w:after="60"/>
      </w:pPr>
      <w:r>
        <w:t>Engagements de service : délais de prise en charge et de rétablissement</w:t>
      </w:r>
    </w:p>
    <w:p>
      <w:pPr>
        <w:pStyle w:val="ListNumber"/>
        <w:spacing w:after="60"/>
      </w:pPr>
      <w:r>
        <w:t>Escalade fonctionnelle : critères et modalités</w:t>
      </w:r>
    </w:p>
    <w:p>
      <w:pPr>
        <w:pStyle w:val="ListNumber"/>
        <w:spacing w:after="60"/>
      </w:pPr>
      <w:r>
        <w:t>Escalade hiérarchique et information de la direction</w:t>
      </w:r>
    </w:p>
    <w:p>
      <w:pPr>
        <w:pStyle w:val="ListNumber"/>
        <w:spacing w:after="60"/>
      </w:pPr>
      <w:r>
        <w:t>Gestion des incidents majeurs et cellule de crise</w:t>
      </w:r>
    </w:p>
    <w:p>
      <w:pPr>
        <w:pStyle w:val="ListNumber"/>
        <w:spacing w:after="60"/>
      </w:pPr>
      <w:r>
        <w:t>Organisation des astreintes</w:t>
      </w:r>
    </w:p>
    <w:p>
      <w:pPr>
        <w:pStyle w:val="ListNumber"/>
        <w:spacing w:after="60"/>
      </w:pPr>
      <w:r>
        <w:t>Communication vers les clients et les parties prenantes</w:t>
      </w:r>
    </w:p>
    <w:p>
      <w:pPr>
        <w:pStyle w:val="ListNumber"/>
        <w:spacing w:after="60"/>
      </w:pPr>
      <w:r>
        <w:t>Retour d'expérience, post-mortem et gestion des problèmes</w:t>
      </w:r>
    </w:p>
    <w:p>
      <w:pPr>
        <w:pStyle w:val="ListNumber"/>
        <w:spacing w:after="60"/>
      </w:pPr>
      <w:r>
        <w:t>Outillage, base de connaissance et indicateurs de performance</w:t>
      </w:r>
    </w:p>
    <w:p>
      <w:r>
        <w:br w:type="page"/>
      </w:r>
    </w:p>
    <w:p>
      <w:pPr>
        <w:pStyle w:val="Heading1"/>
      </w:pPr>
      <w:r>
        <w:rPr>
          <w:color w:val="8A2B06"/>
        </w:rPr>
        <w:t>1. Objet, périmètre d'application et définitions</w:t>
      </w:r>
    </w:p>
    <w:p>
      <w:r>
        <w:rPr>
          <w:i/>
          <w:color w:val="555555"/>
        </w:rPr>
        <w:t>Une terminologie partagée est la condition d'une coordination efficace en situation dégradée.</w:t>
      </w:r>
    </w:p>
    <w:p>
      <w:r>
        <w:t>La présente procédure s'applique à l'ensemble des incidents affectant les services en production exploités par la direction des opérations, qu'ils soient signalés par un client, détectés par la supervision automatisée ou constatés par une équipe interne. Elle couvre les applications métier, les plateformes hébergées, les services d'infrastructure et les interfaces avec les partenaires. Elle ne s'applique pas aux demandes de service, aux évolutions fonctionnelles ni aux changements planifiés, qui relèvent de processus distincts documentés séparément, bien que ces processus interagissent fréquemment avec la gestion des incidents.</w:t>
      </w:r>
    </w:p>
    <w:p>
      <w:r>
        <w:t>Un incident se définit comme une interruption non planifiée d'un service ou une réduction de sa qualité par rapport au niveau attendu. Cette définition est plus large que celle de la panne : une dégradation de performance, une fonctionnalité partiellement indisponible ou un résultat erroné constituent des incidents au même titre qu'une indisponibilité totale. Le problème, à distinguer soigneusement de l'incident, désigne la cause sous-jacente d'un ou plusieurs incidents, dont l'identification et l'élimination relèvent d'un processus dédié. Un contournement est une mesure permettant de rétablir le service sans traiter la cause racine.</w:t>
      </w:r>
    </w:p>
    <w:p>
      <w:r>
        <w:t>Le rétablissement du service constitue l'objectif prioritaire de la gestion des incidents, avant même la compréhension de la cause. Cette hiérarchie des priorités, contre-intuitive pour des profils techniques naturellement portés vers l'analyse, doit être rappelée en situation : un contournement rétablissant le service en dix minutes est préférable à une correction définitive obtenue en quatre heures. L'analyse approfondie intervient ensuite, dans le cadre du processus de gestion des problèmes, avec le recul et la disponibilité intellectuelle que la situation d'urgence ne permet pas.</w:t>
      </w:r>
    </w:p>
    <w:p>
      <w:pPr>
        <w:pStyle w:val="Heading2"/>
      </w:pPr>
      <w:r>
        <w:t>Définitions de référence</w:t>
      </w:r>
    </w:p>
    <w:p>
      <w:pPr>
        <w:pStyle w:val="ListBullet"/>
        <w:spacing w:after="60"/>
      </w:pPr>
      <w:r>
        <w:t>Incident : interruption non planifiée ou réduction de la qualité d'un service.</w:t>
      </w:r>
    </w:p>
    <w:p>
      <w:pPr>
        <w:pStyle w:val="ListBullet"/>
        <w:spacing w:after="60"/>
      </w:pPr>
      <w:r>
        <w:t>Incident majeur : incident de priorité P1 déclenchant l'activation d'une cellule de crise.</w:t>
      </w:r>
    </w:p>
    <w:p>
      <w:pPr>
        <w:pStyle w:val="ListBullet"/>
        <w:spacing w:after="60"/>
      </w:pPr>
      <w:r>
        <w:t>Problème : cause sous-jacente d'un ou plusieurs incidents, avérée ou suspectée.</w:t>
      </w:r>
    </w:p>
    <w:p>
      <w:pPr>
        <w:pStyle w:val="ListBullet"/>
        <w:spacing w:after="60"/>
      </w:pPr>
      <w:r>
        <w:t>Contournement : mesure rétablissant le service sans traiter la cause racine.</w:t>
      </w:r>
    </w:p>
    <w:p>
      <w:pPr>
        <w:pStyle w:val="ListBullet"/>
        <w:spacing w:after="60"/>
      </w:pPr>
      <w:r>
        <w:t>Escalade fonctionnelle : transfert vers un niveau disposant d'une expertise supérieure.</w:t>
      </w:r>
    </w:p>
    <w:p>
      <w:pPr>
        <w:pStyle w:val="ListBullet"/>
        <w:spacing w:after="60"/>
      </w:pPr>
      <w:r>
        <w:t>Escalade hiérarchique : information et mobilisation de la ligne managériale.</w:t>
      </w:r>
    </w:p>
    <w:p>
      <w:pPr>
        <w:pStyle w:val="ListBullet"/>
        <w:spacing w:after="60"/>
      </w:pPr>
      <w:r>
        <w:t>Délai de prise en charge : temps entre l'ouverture du ticket et le début effectif du traitement.</w:t>
      </w:r>
    </w:p>
    <w:p>
      <w:pPr>
        <w:pStyle w:val="ListBullet"/>
        <w:spacing w:after="60"/>
      </w:pPr>
      <w:r>
        <w:t>Délai de rétablissement : temps entre l'ouverture du ticket et le retour au service nominal.</w:t>
      </w:r>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rétablissement du service prime sur l'identification de la cause. L'analyse relève du processus de gestion des problèmes, conduit après la clôture de l'incident.</w:t>
            </w:r>
          </w:p>
        </w:tc>
      </w:tr>
    </w:tbl>
    <w:p/>
    <w:p>
      <w:r>
        <w:br w:type="page"/>
      </w:r>
    </w:p>
    <w:p>
      <w:pPr>
        <w:pStyle w:val="Heading1"/>
      </w:pPr>
      <w:r>
        <w:rPr>
          <w:color w:val="8A2B06"/>
        </w:rPr>
        <w:t>2. Organisation du support en trois niveaux</w:t>
      </w:r>
    </w:p>
    <w:p>
      <w:r>
        <w:rPr>
          <w:i/>
          <w:color w:val="555555"/>
        </w:rPr>
        <w:t>Chaque niveau dispose d'un périmètre d'intervention défini et d'un mandat clair : le respect de ces périmètres conditionne la fluidité du dispositif.</w:t>
      </w:r>
    </w:p>
    <w:p>
      <w:r>
        <w:t>Le niveau 1 constitue le point d'entrée unique de tous les signalements. Il assure la réception, l'enregistrement, la qualification initiale et la résolution des incidents courants disposant d'une procédure documentée dans la base de connaissance. Il fonctionne en horaires étendus de 7 h 00 à 20 h 00 les jours ouvrés, avec un effectif de neuf techniciens organisé en deux vagues. Son objectif de résolution directe est fixé à 65 % des tickets entrants, taux atteint à 61 % sur le dernier trimestre. Toute augmentation de ce taux réduit mécaniquement la charge des niveaux supérieurs et le délai global de rétablissement.</w:t>
      </w:r>
    </w:p>
    <w:p>
      <w:r>
        <w:t>Le niveau 2 regroupe les experts applicatifs et systèmes organisés par domaine technique. Il traite les incidents nécessitant une investigation, une modification de configuration ou une intervention sur les environnements de production. Il fonctionne également en horaires étendus, avec une astreinte assurant la couverture des nuits, week-ends et jours fériés. Il constitue en outre le référent technique du niveau 1, qu'il alimente en procédures et forme régulièrement sur les incidents récurrents, dans une logique de déport progressif des compétences vers l'amont.</w:t>
      </w:r>
    </w:p>
    <w:p>
      <w:r>
        <w:t>Le niveau 3 mobilise les équipes de développement et les architectes, ainsi que le support des éditeurs tiers lorsque l'incident concerne un composant du marché. Il intervient sur les incidents nécessitant une correction de code, une analyse approfondie du comportement applicatif ou une décision d'architecture. Son intervention est nécessairement plus lente, les ressources n'étant pas dédiées à l'exploitation, ce qui justifie de ne le solliciter qu'après épuisement réel des capacités du niveau 2. Une escalade prématurée en niveau 3 sature les équipes de développement et dégrade la capacité de livraison.</w:t>
      </w:r>
    </w:p>
    <w:p>
      <w:pPr>
        <w:pStyle w:val="Heading2"/>
      </w:pPr>
      <w:r>
        <w:t>Périmètres et engagements par niveau</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Niveau</w:t>
            </w:r>
          </w:p>
        </w:tc>
        <w:tc>
          <w:tcPr>
            <w:tcW w:type="dxa" w:w="1949"/>
            <w:shd w:val="clear" w:color="auto" w:fill="8A2B06"/>
          </w:tcPr>
          <w:p>
            <w:r/>
            <w:r>
              <w:rPr>
                <w:b/>
                <w:color w:val="FFFFFF"/>
                <w:sz w:val="18"/>
              </w:rPr>
              <w:t>Composition</w:t>
            </w:r>
          </w:p>
        </w:tc>
        <w:tc>
          <w:tcPr>
            <w:tcW w:type="dxa" w:w="1949"/>
            <w:shd w:val="clear" w:color="auto" w:fill="8A2B06"/>
          </w:tcPr>
          <w:p>
            <w:r/>
            <w:r>
              <w:rPr>
                <w:b/>
                <w:color w:val="FFFFFF"/>
                <w:sz w:val="18"/>
              </w:rPr>
              <w:t>Horaires</w:t>
            </w:r>
          </w:p>
        </w:tc>
        <w:tc>
          <w:tcPr>
            <w:tcW w:type="dxa" w:w="1949"/>
            <w:shd w:val="clear" w:color="auto" w:fill="8A2B06"/>
          </w:tcPr>
          <w:p>
            <w:r/>
            <w:r>
              <w:rPr>
                <w:b/>
                <w:color w:val="FFFFFF"/>
                <w:sz w:val="18"/>
              </w:rPr>
              <w:t>Périmètre</w:t>
            </w:r>
          </w:p>
        </w:tc>
        <w:tc>
          <w:tcPr>
            <w:tcW w:type="dxa" w:w="1949"/>
            <w:shd w:val="clear" w:color="auto" w:fill="8A2B06"/>
          </w:tcPr>
          <w:p>
            <w:r/>
            <w:r>
              <w:rPr>
                <w:b/>
                <w:color w:val="FFFFFF"/>
                <w:sz w:val="18"/>
              </w:rPr>
              <w:t>Taux de résolution</w:t>
            </w:r>
          </w:p>
        </w:tc>
      </w:tr>
      <w:tr>
        <w:tc>
          <w:tcPr>
            <w:tcW w:type="dxa" w:w="1949"/>
          </w:tcPr>
          <w:p>
            <w:r/>
            <w:r>
              <w:rPr>
                <w:sz w:val="18"/>
              </w:rPr>
              <w:t>N1 — Centre de services</w:t>
            </w:r>
          </w:p>
        </w:tc>
        <w:tc>
          <w:tcPr>
            <w:tcW w:type="dxa" w:w="1949"/>
          </w:tcPr>
          <w:p>
            <w:r/>
            <w:r>
              <w:rPr>
                <w:sz w:val="18"/>
              </w:rPr>
              <w:t>9 techniciens</w:t>
            </w:r>
          </w:p>
        </w:tc>
        <w:tc>
          <w:tcPr>
            <w:tcW w:type="dxa" w:w="1949"/>
          </w:tcPr>
          <w:p>
            <w:r/>
            <w:r>
              <w:rPr>
                <w:sz w:val="18"/>
              </w:rPr>
              <w:t>7 h - 20 h, jours ouvrés</w:t>
            </w:r>
          </w:p>
        </w:tc>
        <w:tc>
          <w:tcPr>
            <w:tcW w:type="dxa" w:w="1949"/>
          </w:tcPr>
          <w:p>
            <w:r/>
            <w:r>
              <w:rPr>
                <w:sz w:val="18"/>
              </w:rPr>
              <w:t>Qualification, procédures documentées</w:t>
            </w:r>
          </w:p>
        </w:tc>
        <w:tc>
          <w:tcPr>
            <w:tcW w:type="dxa" w:w="1949"/>
          </w:tcPr>
          <w:p>
            <w:r/>
            <w:r>
              <w:rPr>
                <w:sz w:val="18"/>
              </w:rPr>
              <w:t>61 %</w:t>
            </w:r>
          </w:p>
        </w:tc>
      </w:tr>
      <w:tr>
        <w:tc>
          <w:tcPr>
            <w:tcW w:type="dxa" w:w="1949"/>
          </w:tcPr>
          <w:p>
            <w:r/>
            <w:r>
              <w:rPr>
                <w:sz w:val="18"/>
              </w:rPr>
              <w:t>N2 — Experts domaine</w:t>
            </w:r>
          </w:p>
        </w:tc>
        <w:tc>
          <w:tcPr>
            <w:tcW w:type="dxa" w:w="1949"/>
          </w:tcPr>
          <w:p>
            <w:r/>
            <w:r>
              <w:rPr>
                <w:sz w:val="18"/>
              </w:rPr>
              <w:t>14 ingénieurs, 5 domaines</w:t>
            </w:r>
          </w:p>
        </w:tc>
        <w:tc>
          <w:tcPr>
            <w:tcW w:type="dxa" w:w="1949"/>
          </w:tcPr>
          <w:p>
            <w:r/>
            <w:r>
              <w:rPr>
                <w:sz w:val="18"/>
              </w:rPr>
              <w:t>7 h - 20 h + astreinte 24/7</w:t>
            </w:r>
          </w:p>
        </w:tc>
        <w:tc>
          <w:tcPr>
            <w:tcW w:type="dxa" w:w="1949"/>
          </w:tcPr>
          <w:p>
            <w:r/>
            <w:r>
              <w:rPr>
                <w:sz w:val="18"/>
              </w:rPr>
              <w:t>Investigation, configuration, production</w:t>
            </w:r>
          </w:p>
        </w:tc>
        <w:tc>
          <w:tcPr>
            <w:tcW w:type="dxa" w:w="1949"/>
          </w:tcPr>
          <w:p>
            <w:r/>
            <w:r>
              <w:rPr>
                <w:sz w:val="18"/>
              </w:rPr>
              <w:t>31 %</w:t>
            </w:r>
          </w:p>
        </w:tc>
      </w:tr>
      <w:tr>
        <w:tc>
          <w:tcPr>
            <w:tcW w:type="dxa" w:w="1949"/>
          </w:tcPr>
          <w:p>
            <w:r/>
            <w:r>
              <w:rPr>
                <w:sz w:val="18"/>
              </w:rPr>
              <w:t>N3 — Développement et architecture</w:t>
            </w:r>
          </w:p>
        </w:tc>
        <w:tc>
          <w:tcPr>
            <w:tcW w:type="dxa" w:w="1949"/>
          </w:tcPr>
          <w:p>
            <w:r/>
            <w:r>
              <w:rPr>
                <w:sz w:val="18"/>
              </w:rPr>
              <w:t>Équipes produit sur sollicitation</w:t>
            </w:r>
          </w:p>
        </w:tc>
        <w:tc>
          <w:tcPr>
            <w:tcW w:type="dxa" w:w="1949"/>
          </w:tcPr>
          <w:p>
            <w:r/>
            <w:r>
              <w:rPr>
                <w:sz w:val="18"/>
              </w:rPr>
              <w:t>Heures ouvrées + astreinte P1</w:t>
            </w:r>
          </w:p>
        </w:tc>
        <w:tc>
          <w:tcPr>
            <w:tcW w:type="dxa" w:w="1949"/>
          </w:tcPr>
          <w:p>
            <w:r/>
            <w:r>
              <w:rPr>
                <w:sz w:val="18"/>
              </w:rPr>
              <w:t>Correction de code, décision d'architecture</w:t>
            </w:r>
          </w:p>
        </w:tc>
        <w:tc>
          <w:tcPr>
            <w:tcW w:type="dxa" w:w="1949"/>
          </w:tcPr>
          <w:p>
            <w:r/>
            <w:r>
              <w:rPr>
                <w:sz w:val="18"/>
              </w:rPr>
              <w:t>6 %</w:t>
            </w:r>
          </w:p>
        </w:tc>
      </w:tr>
      <w:tr>
        <w:tc>
          <w:tcPr>
            <w:tcW w:type="dxa" w:w="1949"/>
          </w:tcPr>
          <w:p>
            <w:r/>
            <w:r>
              <w:rPr>
                <w:sz w:val="18"/>
              </w:rPr>
              <w:t>Éditeurs et partenaires tiers</w:t>
            </w:r>
          </w:p>
        </w:tc>
        <w:tc>
          <w:tcPr>
            <w:tcW w:type="dxa" w:w="1949"/>
          </w:tcPr>
          <w:p>
            <w:r/>
            <w:r>
              <w:rPr>
                <w:sz w:val="18"/>
              </w:rPr>
              <w:t>Contrats de support</w:t>
            </w:r>
          </w:p>
        </w:tc>
        <w:tc>
          <w:tcPr>
            <w:tcW w:type="dxa" w:w="1949"/>
          </w:tcPr>
          <w:p>
            <w:r/>
            <w:r>
              <w:rPr>
                <w:sz w:val="18"/>
              </w:rPr>
              <w:t>Selon contrat</w:t>
            </w:r>
          </w:p>
        </w:tc>
        <w:tc>
          <w:tcPr>
            <w:tcW w:type="dxa" w:w="1949"/>
          </w:tcPr>
          <w:p>
            <w:r/>
            <w:r>
              <w:rPr>
                <w:sz w:val="18"/>
              </w:rPr>
              <w:t>Composants du marché</w:t>
            </w:r>
          </w:p>
        </w:tc>
        <w:tc>
          <w:tcPr>
            <w:tcW w:type="dxa" w:w="1949"/>
          </w:tcPr>
          <w:p>
            <w:r/>
            <w:r>
              <w:rPr>
                <w:sz w:val="18"/>
              </w:rPr>
              <w:t>2 %</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Un ticket transmis à un niveau supérieur sans élément d'investigation exploitable est renvoyé au niveau émetteur. La qualité du dossier transmis conditionne la rapidité de la prise en charge.</w:t>
            </w:r>
          </w:p>
        </w:tc>
      </w:tr>
    </w:tbl>
    <w:p/>
    <w:p>
      <w:r>
        <w:br w:type="page"/>
      </w:r>
    </w:p>
    <w:p>
      <w:pPr>
        <w:pStyle w:val="Heading1"/>
      </w:pPr>
      <w:r>
        <w:rPr>
          <w:color w:val="8A2B06"/>
        </w:rPr>
        <w:t>3. Qualification des incidents et matrice de criticité</w:t>
      </w:r>
    </w:p>
    <w:p>
      <w:r>
        <w:rPr>
          <w:i/>
          <w:color w:val="555555"/>
        </w:rPr>
        <w:t>La priorité résulte du croisement de l'impact et de l'urgence, jamais de la seule insistance du demandeur.</w:t>
      </w:r>
    </w:p>
    <w:p>
      <w:r>
        <w:t>L'impact mesure l'ampleur des conséquences de l'incident : nombre d'utilisateurs affectés, criticité métier du service concerné, existence d'un contournement acceptable, conséquences financières, réglementaires ou d'image. L'urgence mesure la rapidité avec laquelle les conséquences se matérialisent : un incident affectant un traitement de clôture comptable dont l'échéance est le lendemain présente une urgence maximale, le même incident survenant en début de mois présente une urgence moindre à impact équivalent. Le croisement de ces deux dimensions produit la priorité, qui détermine l'engagement de délai applicable et l'ordonnancement des travaux.</w:t>
      </w:r>
    </w:p>
    <w:p>
      <w:r>
        <w:t>La qualification initiale est réalisée par le niveau 1 à l'ouverture du ticket, à partir des éléments fournis par le demandeur et de la cartographie de criticité des services. Elle peut être révisée à tout moment, à la hausse comme à la baisse, sur la base d'éléments nouveaux : découverte d'un périmètre d'impact plus large que déclaré, identification d'un contournement acceptable, ou évolution du contexte métier. Toute révision est tracée avec sa justification, et une révision à la baisse doit être communiquée au demandeur avec son motif.</w:t>
      </w:r>
    </w:p>
    <w:p>
      <w:r>
        <w:t>L'expérience montre que la principale source de dysfonctionnement du dispositif réside dans la surqualification des incidents. Un demandeur, légitimement préoccupé par son propre besoin, tend à déclarer une criticité maximale. Si le niveau 1 accepte cette qualification sans arbitrage, l'ensemble du portefeuille devient prioritaire, ce qui revient à n'avoir aucune priorité et conduit mécaniquement à traiter les incidents dans leur ordre d'arrivée. La responsabilité du niveau 1 est donc d'appliquer la matrice de manière rigoureuse et documentée, avec le soutien explicite de la ligne managériale face aux contestations.</w:t>
      </w:r>
    </w:p>
    <w:p>
      <w:pPr>
        <w:pStyle w:val="Heading2"/>
      </w:pPr>
      <w:r>
        <w:t>Critères de qualification en priorité P1</w:t>
      </w:r>
    </w:p>
    <w:p>
      <w:pPr>
        <w:pStyle w:val="ListBullet"/>
        <w:spacing w:after="60"/>
      </w:pPr>
      <w:r>
        <w:t>Indisponibilité totale d'un service en production sans contournement.</w:t>
      </w:r>
    </w:p>
    <w:p>
      <w:pPr>
        <w:pStyle w:val="ListBullet"/>
        <w:spacing w:after="60"/>
      </w:pPr>
      <w:r>
        <w:t>Perte ou corruption avérée de données clients.</w:t>
      </w:r>
    </w:p>
    <w:p>
      <w:pPr>
        <w:pStyle w:val="ListBullet"/>
        <w:spacing w:after="60"/>
      </w:pPr>
      <w:r>
        <w:t>Incident de sécurité confirmé avec exfiltration suspectée ou avérée.</w:t>
      </w:r>
    </w:p>
    <w:p>
      <w:pPr>
        <w:pStyle w:val="ListBullet"/>
        <w:spacing w:after="60"/>
      </w:pPr>
      <w:r>
        <w:t>Blocage d'un processus métier soumis à une échéance réglementaire imminente.</w:t>
      </w:r>
    </w:p>
    <w:p>
      <w:pPr>
        <w:pStyle w:val="ListBullet"/>
        <w:spacing w:after="60"/>
      </w:pPr>
      <w:r>
        <w:t>Dégradation affectant simultanément plus de cinq clients distincts.</w:t>
      </w:r>
    </w:p>
    <w:p>
      <w:pPr>
        <w:pStyle w:val="ListBullet"/>
        <w:spacing w:after="60"/>
      </w:pPr>
      <w:r>
        <w:t>Indisponibilité d'un service contractuellement soumis à une pénalité.</w:t>
      </w:r>
    </w:p>
    <w:p>
      <w:pPr>
        <w:pStyle w:val="Heading2"/>
      </w:pPr>
      <w:r>
        <w:t>Matrice de criticité impact / urgence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Impact \ Urgence</w:t>
            </w:r>
          </w:p>
        </w:tc>
        <w:tc>
          <w:tcPr>
            <w:tcW w:type="dxa" w:w="1949"/>
            <w:shd w:val="clear" w:color="auto" w:fill="8A2B06"/>
          </w:tcPr>
          <w:p>
            <w:r/>
            <w:r>
              <w:rPr>
                <w:b/>
                <w:color w:val="FFFFFF"/>
                <w:sz w:val="18"/>
              </w:rPr>
              <w:t>Critique</w:t>
            </w:r>
          </w:p>
        </w:tc>
        <w:tc>
          <w:tcPr>
            <w:tcW w:type="dxa" w:w="1949"/>
            <w:shd w:val="clear" w:color="auto" w:fill="8A2B06"/>
          </w:tcPr>
          <w:p>
            <w:r/>
            <w:r>
              <w:rPr>
                <w:b/>
                <w:color w:val="FFFFFF"/>
                <w:sz w:val="18"/>
              </w:rPr>
              <w:t>Élevée</w:t>
            </w:r>
          </w:p>
        </w:tc>
        <w:tc>
          <w:tcPr>
            <w:tcW w:type="dxa" w:w="1949"/>
            <w:shd w:val="clear" w:color="auto" w:fill="8A2B06"/>
          </w:tcPr>
          <w:p>
            <w:r/>
            <w:r>
              <w:rPr>
                <w:b/>
                <w:color w:val="FFFFFF"/>
                <w:sz w:val="18"/>
              </w:rPr>
              <w:t>Moyenne</w:t>
            </w:r>
          </w:p>
        </w:tc>
        <w:tc>
          <w:tcPr>
            <w:tcW w:type="dxa" w:w="1949"/>
            <w:shd w:val="clear" w:color="auto" w:fill="8A2B06"/>
          </w:tcPr>
          <w:p>
            <w:r/>
            <w:r>
              <w:rPr>
                <w:b/>
                <w:color w:val="FFFFFF"/>
                <w:sz w:val="18"/>
              </w:rPr>
              <w:t>Faible</w:t>
            </w:r>
          </w:p>
        </w:tc>
      </w:tr>
      <w:tr>
        <w:tc>
          <w:tcPr>
            <w:tcW w:type="dxa" w:w="1949"/>
          </w:tcPr>
          <w:p>
            <w:r/>
            <w:r>
              <w:rPr>
                <w:sz w:val="18"/>
              </w:rPr>
              <w:t>Étendu — service entier ou plus de 500 utilisateurs</w:t>
            </w:r>
          </w:p>
        </w:tc>
        <w:tc>
          <w:tcPr>
            <w:tcW w:type="dxa" w:w="1949"/>
          </w:tcPr>
          <w:p>
            <w:r/>
            <w:r>
              <w:rPr>
                <w:sz w:val="18"/>
              </w:rPr>
              <w:t>P1</w:t>
            </w:r>
          </w:p>
        </w:tc>
        <w:tc>
          <w:tcPr>
            <w:tcW w:type="dxa" w:w="1949"/>
          </w:tcPr>
          <w:p>
            <w:r/>
            <w:r>
              <w:rPr>
                <w:sz w:val="18"/>
              </w:rPr>
              <w:t>P1</w:t>
            </w:r>
          </w:p>
        </w:tc>
        <w:tc>
          <w:tcPr>
            <w:tcW w:type="dxa" w:w="1949"/>
          </w:tcPr>
          <w:p>
            <w:r/>
            <w:r>
              <w:rPr>
                <w:sz w:val="18"/>
              </w:rPr>
              <w:t>P2</w:t>
            </w:r>
          </w:p>
        </w:tc>
        <w:tc>
          <w:tcPr>
            <w:tcW w:type="dxa" w:w="1949"/>
          </w:tcPr>
          <w:p>
            <w:r/>
            <w:r>
              <w:rPr>
                <w:sz w:val="18"/>
              </w:rPr>
              <w:t>P3</w:t>
            </w:r>
          </w:p>
        </w:tc>
      </w:tr>
      <w:tr>
        <w:tc>
          <w:tcPr>
            <w:tcW w:type="dxa" w:w="1949"/>
          </w:tcPr>
          <w:p>
            <w:r/>
            <w:r>
              <w:rPr>
                <w:sz w:val="18"/>
              </w:rPr>
              <w:t>Significatif — 50 à 500 utilisateurs ou service métier clé</w:t>
            </w:r>
          </w:p>
        </w:tc>
        <w:tc>
          <w:tcPr>
            <w:tcW w:type="dxa" w:w="1949"/>
          </w:tcPr>
          <w:p>
            <w:r/>
            <w:r>
              <w:rPr>
                <w:sz w:val="18"/>
              </w:rPr>
              <w:t>P1</w:t>
            </w:r>
          </w:p>
        </w:tc>
        <w:tc>
          <w:tcPr>
            <w:tcW w:type="dxa" w:w="1949"/>
          </w:tcPr>
          <w:p>
            <w:r/>
            <w:r>
              <w:rPr>
                <w:sz w:val="18"/>
              </w:rPr>
              <w:t>P2</w:t>
            </w:r>
          </w:p>
        </w:tc>
        <w:tc>
          <w:tcPr>
            <w:tcW w:type="dxa" w:w="1949"/>
          </w:tcPr>
          <w:p>
            <w:r/>
            <w:r>
              <w:rPr>
                <w:sz w:val="18"/>
              </w:rPr>
              <w:t>P3</w:t>
            </w:r>
          </w:p>
        </w:tc>
        <w:tc>
          <w:tcPr>
            <w:tcW w:type="dxa" w:w="1949"/>
          </w:tcPr>
          <w:p>
            <w:r/>
            <w:r>
              <w:rPr>
                <w:sz w:val="18"/>
              </w:rPr>
              <w:t>P3</w:t>
            </w:r>
          </w:p>
        </w:tc>
      </w:tr>
      <w:tr>
        <w:tc>
          <w:tcPr>
            <w:tcW w:type="dxa" w:w="1949"/>
          </w:tcPr>
          <w:p>
            <w:r/>
            <w:r>
              <w:rPr>
                <w:sz w:val="18"/>
              </w:rPr>
              <w:t>Limité — moins de 50 utilisateurs, contournement existant</w:t>
            </w:r>
          </w:p>
        </w:tc>
        <w:tc>
          <w:tcPr>
            <w:tcW w:type="dxa" w:w="1949"/>
          </w:tcPr>
          <w:p>
            <w:r/>
            <w:r>
              <w:rPr>
                <w:sz w:val="18"/>
              </w:rPr>
              <w:t>P2</w:t>
            </w:r>
          </w:p>
        </w:tc>
        <w:tc>
          <w:tcPr>
            <w:tcW w:type="dxa" w:w="1949"/>
          </w:tcPr>
          <w:p>
            <w:r/>
            <w:r>
              <w:rPr>
                <w:sz w:val="18"/>
              </w:rPr>
              <w:t>P3</w:t>
            </w:r>
          </w:p>
        </w:tc>
        <w:tc>
          <w:tcPr>
            <w:tcW w:type="dxa" w:w="1949"/>
          </w:tcPr>
          <w:p>
            <w:r/>
            <w:r>
              <w:rPr>
                <w:sz w:val="18"/>
              </w:rPr>
              <w:t>P3</w:t>
            </w:r>
          </w:p>
        </w:tc>
        <w:tc>
          <w:tcPr>
            <w:tcW w:type="dxa" w:w="1949"/>
          </w:tcPr>
          <w:p>
            <w:r/>
            <w:r>
              <w:rPr>
                <w:sz w:val="18"/>
              </w:rPr>
              <w:t>P4</w:t>
            </w:r>
          </w:p>
        </w:tc>
      </w:tr>
      <w:tr>
        <w:tc>
          <w:tcPr>
            <w:tcW w:type="dxa" w:w="1949"/>
          </w:tcPr>
          <w:p>
            <w:r/>
            <w:r>
              <w:rPr>
                <w:sz w:val="18"/>
              </w:rPr>
              <w:t>Individuel — un utilisateur, sans blocage métier</w:t>
            </w:r>
          </w:p>
        </w:tc>
        <w:tc>
          <w:tcPr>
            <w:tcW w:type="dxa" w:w="1949"/>
          </w:tcPr>
          <w:p>
            <w:r/>
            <w:r>
              <w:rPr>
                <w:sz w:val="18"/>
              </w:rPr>
              <w:t>P3</w:t>
            </w:r>
          </w:p>
        </w:tc>
        <w:tc>
          <w:tcPr>
            <w:tcW w:type="dxa" w:w="1949"/>
          </w:tcPr>
          <w:p>
            <w:r/>
            <w:r>
              <w:rPr>
                <w:sz w:val="18"/>
              </w:rPr>
              <w:t>P3</w:t>
            </w:r>
          </w:p>
        </w:tc>
        <w:tc>
          <w:tcPr>
            <w:tcW w:type="dxa" w:w="1949"/>
          </w:tcPr>
          <w:p>
            <w:r/>
            <w:r>
              <w:rPr>
                <w:sz w:val="18"/>
              </w:rPr>
              <w:t>P4</w:t>
            </w:r>
          </w:p>
        </w:tc>
        <w:tc>
          <w:tcPr>
            <w:tcW w:type="dxa" w:w="1949"/>
          </w:tcPr>
          <w:p>
            <w:r/>
            <w:r>
              <w:rPr>
                <w:sz w:val="18"/>
              </w:rPr>
              <w:t>P4</w:t>
            </w:r>
          </w:p>
        </w:tc>
      </w:tr>
    </w:tbl>
    <w:p/>
    <w:p>
      <w:r>
        <w:br w:type="page"/>
      </w:r>
    </w:p>
    <w:p>
      <w:pPr>
        <w:pStyle w:val="Heading1"/>
      </w:pPr>
      <w:r>
        <w:rPr>
          <w:color w:val="8A2B06"/>
        </w:rPr>
        <w:t>4. Cycle de vie d'un incident et responsabilités</w:t>
      </w:r>
    </w:p>
    <w:p>
      <w:r>
        <w:rPr>
          <w:i/>
          <w:color w:val="555555"/>
        </w:rPr>
        <w:t>Un incident traverse sept états définis : chaque transition suppose une action et une trace.</w:t>
      </w:r>
    </w:p>
    <w:p>
      <w:r>
        <w:t>L'enregistrement constitue la première étape et conditionne toute la suite. Un ticket correctement enregistré comporte l'identification du demandeur et du service concerné, la description factuelle du symptôme observé, l'horodatage de la première occurrence, le périmètre estimé, les actions déjà entreprises et les éléments de contexte pertinents tels qu'un changement récent ou une opération de maintenance. La qualité de cet enregistrement détermine directement le temps que les niveaux supérieurs consacreront à reconstituer l'information plutôt qu'à traiter l'incident.</w:t>
      </w:r>
    </w:p>
    <w:p>
      <w:r>
        <w:t>La phase de diagnostic vise à circonscrire le périmètre et à identifier une voie de rétablissement. Elle s'appuie sur la base de connaissance, la consultation des tableaux de bord de supervision, l'examen des journaux applicatifs et la vérification des changements récents. Cette dernière vérification est statistiquement la plus productive : l'analyse interne des trois derniers exercices établit que 43 % des incidents de production surviennent dans les soixante-douze heures suivant un changement, ce qui fait de la corrélation avec le calendrier des changements le premier réflexe de diagnostic.</w:t>
      </w:r>
    </w:p>
    <w:p>
      <w:r>
        <w:t>Le rétablissement, la vérification et la clôture achèvent le cycle. La vérification doit être conduite avec le demandeur ou par un test fonctionnel reproduisant le cas d'usage affecté, jamais sur la seule constatation technique que le service répond. La clôture n'intervient qu'après confirmation, avec renseignement obligatoire de la catégorie, de la cause identifiée ou suspectée, du mode de résolution et du temps passé. Un ticket clos sans ces éléments prive l'organisation de toute capacité d'analyse et de toute alimentation de la base de connaissance.</w:t>
      </w:r>
    </w:p>
    <w:p>
      <w:pPr>
        <w:pStyle w:val="Heading2"/>
      </w:pPr>
      <w:r>
        <w:t>États du cycle de vie et responsabilités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8A2B06"/>
          </w:tcPr>
          <w:p>
            <w:r/>
            <w:r>
              <w:rPr>
                <w:b/>
                <w:color w:val="FFFFFF"/>
                <w:sz w:val="18"/>
              </w:rPr>
              <w:t>État</w:t>
            </w:r>
          </w:p>
        </w:tc>
        <w:tc>
          <w:tcPr>
            <w:tcW w:type="dxa" w:w="2436"/>
            <w:shd w:val="clear" w:color="auto" w:fill="8A2B06"/>
          </w:tcPr>
          <w:p>
            <w:r/>
            <w:r>
              <w:rPr>
                <w:b/>
                <w:color w:val="FFFFFF"/>
                <w:sz w:val="18"/>
              </w:rPr>
              <w:t>Responsable</w:t>
            </w:r>
          </w:p>
        </w:tc>
        <w:tc>
          <w:tcPr>
            <w:tcW w:type="dxa" w:w="2436"/>
            <w:shd w:val="clear" w:color="auto" w:fill="8A2B06"/>
          </w:tcPr>
          <w:p>
            <w:r/>
            <w:r>
              <w:rPr>
                <w:b/>
                <w:color w:val="FFFFFF"/>
                <w:sz w:val="18"/>
              </w:rPr>
              <w:t>Action attendue</w:t>
            </w:r>
          </w:p>
        </w:tc>
        <w:tc>
          <w:tcPr>
            <w:tcW w:type="dxa" w:w="2436"/>
            <w:shd w:val="clear" w:color="auto" w:fill="8A2B06"/>
          </w:tcPr>
          <w:p>
            <w:r/>
            <w:r>
              <w:rPr>
                <w:b/>
                <w:color w:val="FFFFFF"/>
                <w:sz w:val="18"/>
              </w:rPr>
              <w:t>Sortie de l'état</w:t>
            </w:r>
          </w:p>
        </w:tc>
      </w:tr>
      <w:tr>
        <w:tc>
          <w:tcPr>
            <w:tcW w:type="dxa" w:w="2436"/>
          </w:tcPr>
          <w:p>
            <w:r/>
            <w:r>
              <w:rPr>
                <w:sz w:val="18"/>
              </w:rPr>
              <w:t>Nouveau</w:t>
            </w:r>
          </w:p>
        </w:tc>
        <w:tc>
          <w:tcPr>
            <w:tcW w:type="dxa" w:w="2436"/>
          </w:tcPr>
          <w:p>
            <w:r/>
            <w:r>
              <w:rPr>
                <w:sz w:val="18"/>
              </w:rPr>
              <w:t>N1</w:t>
            </w:r>
          </w:p>
        </w:tc>
        <w:tc>
          <w:tcPr>
            <w:tcW w:type="dxa" w:w="2436"/>
          </w:tcPr>
          <w:p>
            <w:r/>
            <w:r>
              <w:rPr>
                <w:sz w:val="18"/>
              </w:rPr>
              <w:t>Enregistrement et qualification</w:t>
            </w:r>
          </w:p>
        </w:tc>
        <w:tc>
          <w:tcPr>
            <w:tcW w:type="dxa" w:w="2436"/>
          </w:tcPr>
          <w:p>
            <w:r/>
            <w:r>
              <w:rPr>
                <w:sz w:val="18"/>
              </w:rPr>
              <w:t>Ticket qualifié et priorisé</w:t>
            </w:r>
          </w:p>
        </w:tc>
      </w:tr>
      <w:tr>
        <w:tc>
          <w:tcPr>
            <w:tcW w:type="dxa" w:w="2436"/>
          </w:tcPr>
          <w:p>
            <w:r/>
            <w:r>
              <w:rPr>
                <w:sz w:val="18"/>
              </w:rPr>
              <w:t>Affecté</w:t>
            </w:r>
          </w:p>
        </w:tc>
        <w:tc>
          <w:tcPr>
            <w:tcW w:type="dxa" w:w="2436"/>
          </w:tcPr>
          <w:p>
            <w:r/>
            <w:r>
              <w:rPr>
                <w:sz w:val="18"/>
              </w:rPr>
              <w:t>N1, N2 ou N3</w:t>
            </w:r>
          </w:p>
        </w:tc>
        <w:tc>
          <w:tcPr>
            <w:tcW w:type="dxa" w:w="2436"/>
          </w:tcPr>
          <w:p>
            <w:r/>
            <w:r>
              <w:rPr>
                <w:sz w:val="18"/>
              </w:rPr>
              <w:t>Prise en charge effective</w:t>
            </w:r>
          </w:p>
        </w:tc>
        <w:tc>
          <w:tcPr>
            <w:tcW w:type="dxa" w:w="2436"/>
          </w:tcPr>
          <w:p>
            <w:r/>
            <w:r>
              <w:rPr>
                <w:sz w:val="18"/>
              </w:rPr>
              <w:t>Début du diagnostic</w:t>
            </w:r>
          </w:p>
        </w:tc>
      </w:tr>
      <w:tr>
        <w:tc>
          <w:tcPr>
            <w:tcW w:type="dxa" w:w="2436"/>
          </w:tcPr>
          <w:p>
            <w:r/>
            <w:r>
              <w:rPr>
                <w:sz w:val="18"/>
              </w:rPr>
              <w:t>En cours de diagnostic</w:t>
            </w:r>
          </w:p>
        </w:tc>
        <w:tc>
          <w:tcPr>
            <w:tcW w:type="dxa" w:w="2436"/>
          </w:tcPr>
          <w:p>
            <w:r/>
            <w:r>
              <w:rPr>
                <w:sz w:val="18"/>
              </w:rPr>
              <w:t>Niveau affecté</w:t>
            </w:r>
          </w:p>
        </w:tc>
        <w:tc>
          <w:tcPr>
            <w:tcW w:type="dxa" w:w="2436"/>
          </w:tcPr>
          <w:p>
            <w:r/>
            <w:r>
              <w:rPr>
                <w:sz w:val="18"/>
              </w:rPr>
              <w:t>Investigation, recherche de contournement</w:t>
            </w:r>
          </w:p>
        </w:tc>
        <w:tc>
          <w:tcPr>
            <w:tcW w:type="dxa" w:w="2436"/>
          </w:tcPr>
          <w:p>
            <w:r/>
            <w:r>
              <w:rPr>
                <w:sz w:val="18"/>
              </w:rPr>
              <w:t>Cause ou contournement identifié</w:t>
            </w:r>
          </w:p>
        </w:tc>
      </w:tr>
      <w:tr>
        <w:tc>
          <w:tcPr>
            <w:tcW w:type="dxa" w:w="2436"/>
          </w:tcPr>
          <w:p>
            <w:r/>
            <w:r>
              <w:rPr>
                <w:sz w:val="18"/>
              </w:rPr>
              <w:t>En attente</w:t>
            </w:r>
          </w:p>
        </w:tc>
        <w:tc>
          <w:tcPr>
            <w:tcW w:type="dxa" w:w="2436"/>
          </w:tcPr>
          <w:p>
            <w:r/>
            <w:r>
              <w:rPr>
                <w:sz w:val="18"/>
              </w:rPr>
              <w:t>Niveau affecté</w:t>
            </w:r>
          </w:p>
        </w:tc>
        <w:tc>
          <w:tcPr>
            <w:tcW w:type="dxa" w:w="2436"/>
          </w:tcPr>
          <w:p>
            <w:r/>
            <w:r>
              <w:rPr>
                <w:sz w:val="18"/>
              </w:rPr>
              <w:t>Attente d'un tiers ou du demandeur</w:t>
            </w:r>
          </w:p>
        </w:tc>
        <w:tc>
          <w:tcPr>
            <w:tcW w:type="dxa" w:w="2436"/>
          </w:tcPr>
          <w:p>
            <w:r/>
            <w:r>
              <w:rPr>
                <w:sz w:val="18"/>
              </w:rPr>
              <w:t>Réponse obtenue, chronomètre suspendu</w:t>
            </w:r>
          </w:p>
        </w:tc>
      </w:tr>
      <w:tr>
        <w:tc>
          <w:tcPr>
            <w:tcW w:type="dxa" w:w="2436"/>
          </w:tcPr>
          <w:p>
            <w:r/>
            <w:r>
              <w:rPr>
                <w:sz w:val="18"/>
              </w:rPr>
              <w:t>Résolu techniquement</w:t>
            </w:r>
          </w:p>
        </w:tc>
        <w:tc>
          <w:tcPr>
            <w:tcW w:type="dxa" w:w="2436"/>
          </w:tcPr>
          <w:p>
            <w:r/>
            <w:r>
              <w:rPr>
                <w:sz w:val="18"/>
              </w:rPr>
              <w:t>Niveau affecté</w:t>
            </w:r>
          </w:p>
        </w:tc>
        <w:tc>
          <w:tcPr>
            <w:tcW w:type="dxa" w:w="2436"/>
          </w:tcPr>
          <w:p>
            <w:r/>
            <w:r>
              <w:rPr>
                <w:sz w:val="18"/>
              </w:rPr>
              <w:t>Application du correctif ou contournement</w:t>
            </w:r>
          </w:p>
        </w:tc>
        <w:tc>
          <w:tcPr>
            <w:tcW w:type="dxa" w:w="2436"/>
          </w:tcPr>
          <w:p>
            <w:r/>
            <w:r>
              <w:rPr>
                <w:sz w:val="18"/>
              </w:rPr>
              <w:t>Service rétabli</w:t>
            </w:r>
          </w:p>
        </w:tc>
      </w:tr>
      <w:tr>
        <w:tc>
          <w:tcPr>
            <w:tcW w:type="dxa" w:w="2436"/>
          </w:tcPr>
          <w:p>
            <w:r/>
            <w:r>
              <w:rPr>
                <w:sz w:val="18"/>
              </w:rPr>
              <w:t>En vérification</w:t>
            </w:r>
          </w:p>
        </w:tc>
        <w:tc>
          <w:tcPr>
            <w:tcW w:type="dxa" w:w="2436"/>
          </w:tcPr>
          <w:p>
            <w:r/>
            <w:r>
              <w:rPr>
                <w:sz w:val="18"/>
              </w:rPr>
              <w:t>N1 et demandeur</w:t>
            </w:r>
          </w:p>
        </w:tc>
        <w:tc>
          <w:tcPr>
            <w:tcW w:type="dxa" w:w="2436"/>
          </w:tcPr>
          <w:p>
            <w:r/>
            <w:r>
              <w:rPr>
                <w:sz w:val="18"/>
              </w:rPr>
              <w:t>Test fonctionnel de confirmation</w:t>
            </w:r>
          </w:p>
        </w:tc>
        <w:tc>
          <w:tcPr>
            <w:tcW w:type="dxa" w:w="2436"/>
          </w:tcPr>
          <w:p>
            <w:r/>
            <w:r>
              <w:rPr>
                <w:sz w:val="18"/>
              </w:rPr>
              <w:t>Confirmation du demandeur</w:t>
            </w:r>
          </w:p>
        </w:tc>
      </w:tr>
      <w:tr>
        <w:tc>
          <w:tcPr>
            <w:tcW w:type="dxa" w:w="2436"/>
          </w:tcPr>
          <w:p>
            <w:r/>
            <w:r>
              <w:rPr>
                <w:sz w:val="18"/>
              </w:rPr>
              <w:t>Clos</w:t>
            </w:r>
          </w:p>
        </w:tc>
        <w:tc>
          <w:tcPr>
            <w:tcW w:type="dxa" w:w="2436"/>
          </w:tcPr>
          <w:p>
            <w:r/>
            <w:r>
              <w:rPr>
                <w:sz w:val="18"/>
              </w:rPr>
              <w:t>N1</w:t>
            </w:r>
          </w:p>
        </w:tc>
        <w:tc>
          <w:tcPr>
            <w:tcW w:type="dxa" w:w="2436"/>
          </w:tcPr>
          <w:p>
            <w:r/>
            <w:r>
              <w:rPr>
                <w:sz w:val="18"/>
              </w:rPr>
              <w:t>Documentation, catégorisation, temps passé</w:t>
            </w:r>
          </w:p>
        </w:tc>
        <w:tc>
          <w:tcPr>
            <w:tcW w:type="dxa" w:w="2436"/>
          </w:tcPr>
          <w:p>
            <w:r/>
            <w:r>
              <w:rPr>
                <w:sz w:val="18"/>
              </w:rPr>
              <w:t>Archivage</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L'état « en attente » suspend le décompte des engagements de délai. Son usage abusif pour améliorer artificiellement les indicateurs constitue un manquement et fait l'objet d'un contrôle mensuel par sondage.</w:t>
            </w:r>
          </w:p>
        </w:tc>
      </w:tr>
    </w:tbl>
    <w:p/>
    <w:p>
      <w:r>
        <w:br w:type="page"/>
      </w:r>
    </w:p>
    <w:p>
      <w:pPr>
        <w:pStyle w:val="Heading1"/>
      </w:pPr>
      <w:r>
        <w:rPr>
          <w:color w:val="8A2B06"/>
        </w:rPr>
        <w:t>5. Engagements de service : délais de prise en charge et de rétablissement</w:t>
      </w:r>
    </w:p>
    <w:p>
      <w:r>
        <w:rPr>
          <w:i/>
          <w:color w:val="555555"/>
        </w:rPr>
        <w:t>Les engagements contractuels déterminent le rythme de traitement et les conséquences financières d'un dépassement.</w:t>
      </w:r>
    </w:p>
    <w:p>
      <w:r>
        <w:t>Les engagements de service portent sur deux grandeurs distinctes. Le délai de prise en charge mesure le temps écoulé entre l'ouverture du ticket et le début effectif du traitement par un intervenant identifié ; il traduit la réactivité du dispositif. Le délai de rétablissement mesure le temps écoulé jusqu'au retour au service nominal ou à la mise en place d'un contournement acceptable ; il traduit l'efficacité de la résolution. Ces deux engagements sont mesurés séparément et font l'objet de seuils distincts par niveau de priorité.</w:t>
      </w:r>
    </w:p>
    <w:p>
      <w:r>
        <w:t>Le décompte s'effectue en heures ouvrées pour les priorités P3 et P4, et en heures calendaires vingt-quatre heures sur vingt-quatre et sept jours sur sept pour les priorités P1 et P2. Cette distinction est essentielle et doit être comprise de tous : un incident P1 survenant un samedi à 3 h 00 dispose du même engagement de quinze minutes qu'un incident survenant un mardi à 14 h 00, ce qui justifie le dispositif d'astreinte. Le chronomètre est suspendu pendant les périodes d'attente imputables au demandeur ou à un tiers externe, sous réserve que cette attente soit documentée et que les relances aient été effectuées.</w:t>
      </w:r>
    </w:p>
    <w:p>
      <w:r>
        <w:t>Le taux de respect des engagements est mesuré mensuellement, par priorité et par client contractuel. Les contrats de service comportent des seuils de pénalité déclenchés en cas de non-respect répété : un taux de respect inférieur à 95 % sur les P1 pendant deux mois consécutifs déclenche une pénalité contractuelle calculée en pourcentage de la redevance mensuelle, plafonnée à 10 % de celle-ci. Au-delà de l'enjeu financier, la répétition de dépassements constitue le premier signal d'alerte sur la soutenabilité du dispositif et doit conduire à un examen des causes structurelles plutôt qu'à une pression accrue sur les équipes.</w:t>
      </w:r>
    </w:p>
    <w:p>
      <w:pPr>
        <w:pStyle w:val="Heading2"/>
      </w:pPr>
      <w:r>
        <w:t>Taux de respect des engagements — dernier trimestre</w:t>
      </w:r>
    </w:p>
    <w:p>
      <w:pPr>
        <w:pStyle w:val="ListBullet"/>
        <w:spacing w:after="60"/>
      </w:pPr>
      <w:r>
        <w:t>P1 : 96,4 % de respect sur la prise en charge, 91,2 % sur le rétablissement.</w:t>
      </w:r>
    </w:p>
    <w:p>
      <w:pPr>
        <w:pStyle w:val="ListBullet"/>
        <w:spacing w:after="60"/>
      </w:pPr>
      <w:r>
        <w:t>P2 : 94,1 % de respect sur la prise en charge, 88,6 % sur le rétablissement.</w:t>
      </w:r>
    </w:p>
    <w:p>
      <w:pPr>
        <w:pStyle w:val="ListBullet"/>
        <w:spacing w:after="60"/>
      </w:pPr>
      <w:r>
        <w:t>P3 : 97,8 % de respect sur la prise en charge, 94,3 % sur le rétablissement.</w:t>
      </w:r>
    </w:p>
    <w:p>
      <w:pPr>
        <w:pStyle w:val="ListBullet"/>
        <w:spacing w:after="60"/>
      </w:pPr>
      <w:r>
        <w:t>P4 : 99,1 % de respect sur la prise en charge, 96,7 % sur le rétablissement.</w:t>
      </w:r>
    </w:p>
    <w:p>
      <w:pPr>
        <w:pStyle w:val="ListBullet"/>
        <w:spacing w:after="60"/>
      </w:pPr>
      <w:r>
        <w:t>Deux dépassements P1 imputables à une dépendance éditeur tiers hors périmètre de maîtrise.</w:t>
      </w:r>
    </w:p>
    <w:p>
      <w:pPr>
        <w:pStyle w:val="ListBullet"/>
        <w:spacing w:after="60"/>
      </w:pPr>
      <w:r>
        <w:t>Un dépassement P1 imputable à un défaut de joignabilité de l'astreinte, traité en revue.</w:t>
      </w:r>
    </w:p>
    <w:p>
      <w:pPr>
        <w:pStyle w:val="Heading2"/>
      </w:pPr>
      <w:r>
        <w:t>Engagements de service par niveau de priorité</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Priorité</w:t>
            </w:r>
          </w:p>
        </w:tc>
        <w:tc>
          <w:tcPr>
            <w:tcW w:type="dxa" w:w="1949"/>
            <w:shd w:val="clear" w:color="auto" w:fill="8A2B06"/>
          </w:tcPr>
          <w:p>
            <w:r/>
            <w:r>
              <w:rPr>
                <w:b/>
                <w:color w:val="FFFFFF"/>
                <w:sz w:val="18"/>
              </w:rPr>
              <w:t>Prise en charge</w:t>
            </w:r>
          </w:p>
        </w:tc>
        <w:tc>
          <w:tcPr>
            <w:tcW w:type="dxa" w:w="1949"/>
            <w:shd w:val="clear" w:color="auto" w:fill="8A2B06"/>
          </w:tcPr>
          <w:p>
            <w:r/>
            <w:r>
              <w:rPr>
                <w:b/>
                <w:color w:val="FFFFFF"/>
                <w:sz w:val="18"/>
              </w:rPr>
              <w:t>Rétablissement cible</w:t>
            </w:r>
          </w:p>
        </w:tc>
        <w:tc>
          <w:tcPr>
            <w:tcW w:type="dxa" w:w="1949"/>
            <w:shd w:val="clear" w:color="auto" w:fill="8A2B06"/>
          </w:tcPr>
          <w:p>
            <w:r/>
            <w:r>
              <w:rPr>
                <w:b/>
                <w:color w:val="FFFFFF"/>
                <w:sz w:val="18"/>
              </w:rPr>
              <w:t>Décompte</w:t>
            </w:r>
          </w:p>
        </w:tc>
        <w:tc>
          <w:tcPr>
            <w:tcW w:type="dxa" w:w="1949"/>
            <w:shd w:val="clear" w:color="auto" w:fill="8A2B06"/>
          </w:tcPr>
          <w:p>
            <w:r/>
            <w:r>
              <w:rPr>
                <w:b/>
                <w:color w:val="FFFFFF"/>
                <w:sz w:val="18"/>
              </w:rPr>
              <w:t>Point de situation</w:t>
            </w:r>
          </w:p>
        </w:tc>
      </w:tr>
      <w:tr>
        <w:tc>
          <w:tcPr>
            <w:tcW w:type="dxa" w:w="1949"/>
          </w:tcPr>
          <w:p>
            <w:r/>
            <w:r>
              <w:rPr>
                <w:sz w:val="18"/>
              </w:rPr>
              <w:t>P1 — Critique</w:t>
            </w:r>
          </w:p>
        </w:tc>
        <w:tc>
          <w:tcPr>
            <w:tcW w:type="dxa" w:w="1949"/>
          </w:tcPr>
          <w:p>
            <w:r/>
            <w:r>
              <w:rPr>
                <w:sz w:val="18"/>
              </w:rPr>
              <w:t>15 minutes</w:t>
            </w:r>
          </w:p>
        </w:tc>
        <w:tc>
          <w:tcPr>
            <w:tcW w:type="dxa" w:w="1949"/>
          </w:tcPr>
          <w:p>
            <w:r/>
            <w:r>
              <w:rPr>
                <w:sz w:val="18"/>
              </w:rPr>
              <w:t>4 heures</w:t>
            </w:r>
          </w:p>
        </w:tc>
        <w:tc>
          <w:tcPr>
            <w:tcW w:type="dxa" w:w="1949"/>
          </w:tcPr>
          <w:p>
            <w:r/>
            <w:r>
              <w:rPr>
                <w:sz w:val="18"/>
              </w:rPr>
              <w:t>24/7</w:t>
            </w:r>
          </w:p>
        </w:tc>
        <w:tc>
          <w:tcPr>
            <w:tcW w:type="dxa" w:w="1949"/>
          </w:tcPr>
          <w:p>
            <w:r/>
            <w:r>
              <w:rPr>
                <w:sz w:val="18"/>
              </w:rPr>
              <w:t>Toutes les 30 minutes</w:t>
            </w:r>
          </w:p>
        </w:tc>
      </w:tr>
      <w:tr>
        <w:tc>
          <w:tcPr>
            <w:tcW w:type="dxa" w:w="1949"/>
          </w:tcPr>
          <w:p>
            <w:r/>
            <w:r>
              <w:rPr>
                <w:sz w:val="18"/>
              </w:rPr>
              <w:t>P2 — Majeure</w:t>
            </w:r>
          </w:p>
        </w:tc>
        <w:tc>
          <w:tcPr>
            <w:tcW w:type="dxa" w:w="1949"/>
          </w:tcPr>
          <w:p>
            <w:r/>
            <w:r>
              <w:rPr>
                <w:sz w:val="18"/>
              </w:rPr>
              <w:t>1 heure</w:t>
            </w:r>
          </w:p>
        </w:tc>
        <w:tc>
          <w:tcPr>
            <w:tcW w:type="dxa" w:w="1949"/>
          </w:tcPr>
          <w:p>
            <w:r/>
            <w:r>
              <w:rPr>
                <w:sz w:val="18"/>
              </w:rPr>
              <w:t>8 heures</w:t>
            </w:r>
          </w:p>
        </w:tc>
        <w:tc>
          <w:tcPr>
            <w:tcW w:type="dxa" w:w="1949"/>
          </w:tcPr>
          <w:p>
            <w:r/>
            <w:r>
              <w:rPr>
                <w:sz w:val="18"/>
              </w:rPr>
              <w:t>24/7</w:t>
            </w:r>
          </w:p>
        </w:tc>
        <w:tc>
          <w:tcPr>
            <w:tcW w:type="dxa" w:w="1949"/>
          </w:tcPr>
          <w:p>
            <w:r/>
            <w:r>
              <w:rPr>
                <w:sz w:val="18"/>
              </w:rPr>
              <w:t>Toutes les 2 heures</w:t>
            </w:r>
          </w:p>
        </w:tc>
      </w:tr>
      <w:tr>
        <w:tc>
          <w:tcPr>
            <w:tcW w:type="dxa" w:w="1949"/>
          </w:tcPr>
          <w:p>
            <w:r/>
            <w:r>
              <w:rPr>
                <w:sz w:val="18"/>
              </w:rPr>
              <w:t>P3 — Modérée</w:t>
            </w:r>
          </w:p>
        </w:tc>
        <w:tc>
          <w:tcPr>
            <w:tcW w:type="dxa" w:w="1949"/>
          </w:tcPr>
          <w:p>
            <w:r/>
            <w:r>
              <w:rPr>
                <w:sz w:val="18"/>
              </w:rPr>
              <w:t>4 heures ouvrées</w:t>
            </w:r>
          </w:p>
        </w:tc>
        <w:tc>
          <w:tcPr>
            <w:tcW w:type="dxa" w:w="1949"/>
          </w:tcPr>
          <w:p>
            <w:r/>
            <w:r>
              <w:rPr>
                <w:sz w:val="18"/>
              </w:rPr>
              <w:t>3 jours ouvrés</w:t>
            </w:r>
          </w:p>
        </w:tc>
        <w:tc>
          <w:tcPr>
            <w:tcW w:type="dxa" w:w="1949"/>
          </w:tcPr>
          <w:p>
            <w:r/>
            <w:r>
              <w:rPr>
                <w:sz w:val="18"/>
              </w:rPr>
              <w:t>Heures ouvrées</w:t>
            </w:r>
          </w:p>
        </w:tc>
        <w:tc>
          <w:tcPr>
            <w:tcW w:type="dxa" w:w="1949"/>
          </w:tcPr>
          <w:p>
            <w:r/>
            <w:r>
              <w:rPr>
                <w:sz w:val="18"/>
              </w:rPr>
              <w:t>Quotidien</w:t>
            </w:r>
          </w:p>
        </w:tc>
      </w:tr>
      <w:tr>
        <w:tc>
          <w:tcPr>
            <w:tcW w:type="dxa" w:w="1949"/>
          </w:tcPr>
          <w:p>
            <w:r/>
            <w:r>
              <w:rPr>
                <w:sz w:val="18"/>
              </w:rPr>
              <w:t>P4 — Mineure</w:t>
            </w:r>
          </w:p>
        </w:tc>
        <w:tc>
          <w:tcPr>
            <w:tcW w:type="dxa" w:w="1949"/>
          </w:tcPr>
          <w:p>
            <w:r/>
            <w:r>
              <w:rPr>
                <w:sz w:val="18"/>
              </w:rPr>
              <w:t>1 jour ouvré</w:t>
            </w:r>
          </w:p>
        </w:tc>
        <w:tc>
          <w:tcPr>
            <w:tcW w:type="dxa" w:w="1949"/>
          </w:tcPr>
          <w:p>
            <w:r/>
            <w:r>
              <w:rPr>
                <w:sz w:val="18"/>
              </w:rPr>
              <w:t>10 jours ouvrés</w:t>
            </w:r>
          </w:p>
        </w:tc>
        <w:tc>
          <w:tcPr>
            <w:tcW w:type="dxa" w:w="1949"/>
          </w:tcPr>
          <w:p>
            <w:r/>
            <w:r>
              <w:rPr>
                <w:sz w:val="18"/>
              </w:rPr>
              <w:t>Heures ouvrées</w:t>
            </w:r>
          </w:p>
        </w:tc>
        <w:tc>
          <w:tcPr>
            <w:tcW w:type="dxa" w:w="1949"/>
          </w:tcPr>
          <w:p>
            <w:r/>
            <w:r>
              <w:rPr>
                <w:sz w:val="18"/>
              </w:rPr>
              <w:t>Hebdomadaire</w:t>
            </w:r>
          </w:p>
        </w:tc>
      </w:tr>
    </w:tbl>
    <w:p/>
    <w:p>
      <w:r>
        <w:br w:type="page"/>
      </w:r>
    </w:p>
    <w:p>
      <w:pPr>
        <w:pStyle w:val="Heading1"/>
      </w:pPr>
      <w:r>
        <w:rPr>
          <w:color w:val="8A2B06"/>
        </w:rPr>
        <w:t>6. Escalade fonctionnelle : critères et modalités</w:t>
      </w:r>
    </w:p>
    <w:p>
      <w:r>
        <w:rPr>
          <w:i/>
          <w:color w:val="555555"/>
        </w:rPr>
        <w:t>L'escalade n'est pas un aveu d'échec mais un mécanisme normal de mobilisation de la compétence adéquate.</w:t>
      </w:r>
    </w:p>
    <w:p>
      <w:r>
        <w:t>L'escalade fonctionnelle consiste à transférer le traitement vers un niveau disposant d'une expertise ou de droits d'accès supérieurs. Elle se déclenche sur trois catégories de critères. Le critère de compétence s'applique lorsque le niveau en charge ne dispose ni de la connaissance ni de la procédure permettant de progresser. Le critère d'habilitation s'applique lorsque l'action requise excède ses droits d'accès. Le critère de temps, le plus important en pratique, s'applique lorsqu'un seuil de temps écoulé est atteint sans progression identifiable, indépendamment de la conviction de l'intervenant qu'il touche au but.</w:t>
      </w:r>
    </w:p>
    <w:p>
      <w:r>
        <w:t>Le seuil de temps est un mécanisme volontairement mécanique, précisément parce qu'il vise à contrer un biais cognitif documenté : l'intervenant engagé dans une investigation surestime systématiquement sa proximité de la solution et repousse l'escalade. L'application du seuil est donc automatisée dans l'outil de gestion des tickets, qui notifie le niveau supérieur et le responsable d'astreinte sans intervention humaine. L'intervenant conserve la possibilité de poursuivre son investigation en parallèle, mais la mobilisation du niveau supérieur n'est plus à sa main.</w:t>
      </w:r>
    </w:p>
    <w:p>
      <w:r>
        <w:t>Le passage de relais doit être formalisé pour être efficace. Le niveau émetteur transmet une synthèse comportant le symptôme constaté, le périmètre d'impact vérifié, la chronologie des faits, les hypothèses explorées et écartées avec leur justification, les actions déjà réalisées y compris celles sans effet, et les éléments de journal pertinents. Cette synthèse est saisie dans le ticket et non transmise oralement, afin de rester disponible pour les intervenants suivants. Un relais oral non documenté est la première cause de perte d'information lors des incidents de longue durée impliquant plusieurs équipes successives.</w:t>
      </w:r>
    </w:p>
    <w:p>
      <w:pPr>
        <w:pStyle w:val="Heading2"/>
      </w:pPr>
      <w:r>
        <w:t>Éléments obligatoires du dossier d'escalade</w:t>
      </w:r>
    </w:p>
    <w:p>
      <w:pPr>
        <w:pStyle w:val="ListBullet"/>
        <w:spacing w:after="60"/>
      </w:pPr>
      <w:r>
        <w:t>Symptôme observé, formulé de manière factuelle et reproductible.</w:t>
      </w:r>
    </w:p>
    <w:p>
      <w:pPr>
        <w:pStyle w:val="ListBullet"/>
        <w:spacing w:after="60"/>
      </w:pPr>
      <w:r>
        <w:t>Périmètre d'impact vérifié : services, clients et utilisateurs concernés.</w:t>
      </w:r>
    </w:p>
    <w:p>
      <w:pPr>
        <w:pStyle w:val="ListBullet"/>
        <w:spacing w:after="60"/>
      </w:pPr>
      <w:r>
        <w:t>Chronologie horodatée des faits depuis la première occurrence connue.</w:t>
      </w:r>
    </w:p>
    <w:p>
      <w:pPr>
        <w:pStyle w:val="ListBullet"/>
        <w:spacing w:after="60"/>
      </w:pPr>
      <w:r>
        <w:t>Hypothèses explorées et écartées, avec le motif de leur élimination.</w:t>
      </w:r>
    </w:p>
    <w:p>
      <w:pPr>
        <w:pStyle w:val="ListBullet"/>
        <w:spacing w:after="60"/>
      </w:pPr>
      <w:r>
        <w:t>Actions réalisées, y compris celles restées sans effet.</w:t>
      </w:r>
    </w:p>
    <w:p>
      <w:pPr>
        <w:pStyle w:val="ListBullet"/>
        <w:spacing w:after="60"/>
      </w:pPr>
      <w:r>
        <w:t>Extraits de journaux et captures pertinents, joints au ticket.</w:t>
      </w:r>
    </w:p>
    <w:p>
      <w:pPr>
        <w:pStyle w:val="ListBullet"/>
        <w:spacing w:after="60"/>
      </w:pPr>
      <w:r>
        <w:t>Changements intervenus dans les soixante-douze heures précédentes.</w:t>
      </w:r>
    </w:p>
    <w:p>
      <w:pPr>
        <w:pStyle w:val="ListBullet"/>
        <w:spacing w:after="60"/>
      </w:pPr>
      <w:r>
        <w:t>Contournement en place le cas échéant, et son périmètre de validité.</w:t>
      </w:r>
    </w:p>
    <w:p>
      <w:pPr>
        <w:pStyle w:val="Heading2"/>
      </w:pPr>
      <w:r>
        <w:t>Seuils d'escalade fonctionnelle automatique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Priorité</w:t>
            </w:r>
          </w:p>
        </w:tc>
        <w:tc>
          <w:tcPr>
            <w:tcW w:type="dxa" w:w="1949"/>
            <w:shd w:val="clear" w:color="auto" w:fill="8A2B06"/>
          </w:tcPr>
          <w:p>
            <w:r/>
            <w:r>
              <w:rPr>
                <w:b/>
                <w:color w:val="FFFFFF"/>
                <w:sz w:val="18"/>
              </w:rPr>
              <w:t>N1 vers N2</w:t>
            </w:r>
          </w:p>
        </w:tc>
        <w:tc>
          <w:tcPr>
            <w:tcW w:type="dxa" w:w="1949"/>
            <w:shd w:val="clear" w:color="auto" w:fill="8A2B06"/>
          </w:tcPr>
          <w:p>
            <w:r/>
            <w:r>
              <w:rPr>
                <w:b/>
                <w:color w:val="FFFFFF"/>
                <w:sz w:val="18"/>
              </w:rPr>
              <w:t>N2 vers N3</w:t>
            </w:r>
          </w:p>
        </w:tc>
        <w:tc>
          <w:tcPr>
            <w:tcW w:type="dxa" w:w="1949"/>
            <w:shd w:val="clear" w:color="auto" w:fill="8A2B06"/>
          </w:tcPr>
          <w:p>
            <w:r/>
            <w:r>
              <w:rPr>
                <w:b/>
                <w:color w:val="FFFFFF"/>
                <w:sz w:val="18"/>
              </w:rPr>
              <w:t>N3 vers éditeur</w:t>
            </w:r>
          </w:p>
        </w:tc>
        <w:tc>
          <w:tcPr>
            <w:tcW w:type="dxa" w:w="1949"/>
            <w:shd w:val="clear" w:color="auto" w:fill="8A2B06"/>
          </w:tcPr>
          <w:p>
            <w:r/>
            <w:r>
              <w:rPr>
                <w:b/>
                <w:color w:val="FFFFFF"/>
                <w:sz w:val="18"/>
              </w:rPr>
              <w:t>Notification</w:t>
            </w:r>
          </w:p>
        </w:tc>
      </w:tr>
      <w:tr>
        <w:tc>
          <w:tcPr>
            <w:tcW w:type="dxa" w:w="1949"/>
          </w:tcPr>
          <w:p>
            <w:r/>
            <w:r>
              <w:rPr>
                <w:sz w:val="18"/>
              </w:rPr>
              <w:t>P1</w:t>
            </w:r>
          </w:p>
        </w:tc>
        <w:tc>
          <w:tcPr>
            <w:tcW w:type="dxa" w:w="1949"/>
          </w:tcPr>
          <w:p>
            <w:r/>
            <w:r>
              <w:rPr>
                <w:sz w:val="18"/>
              </w:rPr>
              <w:t>15 minutes</w:t>
            </w:r>
          </w:p>
        </w:tc>
        <w:tc>
          <w:tcPr>
            <w:tcW w:type="dxa" w:w="1949"/>
          </w:tcPr>
          <w:p>
            <w:r/>
            <w:r>
              <w:rPr>
                <w:sz w:val="18"/>
              </w:rPr>
              <w:t>45 minutes</w:t>
            </w:r>
          </w:p>
        </w:tc>
        <w:tc>
          <w:tcPr>
            <w:tcW w:type="dxa" w:w="1949"/>
          </w:tcPr>
          <w:p>
            <w:r/>
            <w:r>
              <w:rPr>
                <w:sz w:val="18"/>
              </w:rPr>
              <w:t>2 heures</w:t>
            </w:r>
          </w:p>
        </w:tc>
        <w:tc>
          <w:tcPr>
            <w:tcW w:type="dxa" w:w="1949"/>
          </w:tcPr>
          <w:p>
            <w:r/>
            <w:r>
              <w:rPr>
                <w:sz w:val="18"/>
              </w:rPr>
              <w:t>Automatique + appel</w:t>
            </w:r>
          </w:p>
        </w:tc>
      </w:tr>
      <w:tr>
        <w:tc>
          <w:tcPr>
            <w:tcW w:type="dxa" w:w="1949"/>
          </w:tcPr>
          <w:p>
            <w:r/>
            <w:r>
              <w:rPr>
                <w:sz w:val="18"/>
              </w:rPr>
              <w:t>P2</w:t>
            </w:r>
          </w:p>
        </w:tc>
        <w:tc>
          <w:tcPr>
            <w:tcW w:type="dxa" w:w="1949"/>
          </w:tcPr>
          <w:p>
            <w:r/>
            <w:r>
              <w:rPr>
                <w:sz w:val="18"/>
              </w:rPr>
              <w:t>1 heure</w:t>
            </w:r>
          </w:p>
        </w:tc>
        <w:tc>
          <w:tcPr>
            <w:tcW w:type="dxa" w:w="1949"/>
          </w:tcPr>
          <w:p>
            <w:r/>
            <w:r>
              <w:rPr>
                <w:sz w:val="18"/>
              </w:rPr>
              <w:t>3 heures</w:t>
            </w:r>
          </w:p>
        </w:tc>
        <w:tc>
          <w:tcPr>
            <w:tcW w:type="dxa" w:w="1949"/>
          </w:tcPr>
          <w:p>
            <w:r/>
            <w:r>
              <w:rPr>
                <w:sz w:val="18"/>
              </w:rPr>
              <w:t>6 heures</w:t>
            </w:r>
          </w:p>
        </w:tc>
        <w:tc>
          <w:tcPr>
            <w:tcW w:type="dxa" w:w="1949"/>
          </w:tcPr>
          <w:p>
            <w:r/>
            <w:r>
              <w:rPr>
                <w:sz w:val="18"/>
              </w:rPr>
              <w:t>Automatique + appel</w:t>
            </w:r>
          </w:p>
        </w:tc>
      </w:tr>
      <w:tr>
        <w:tc>
          <w:tcPr>
            <w:tcW w:type="dxa" w:w="1949"/>
          </w:tcPr>
          <w:p>
            <w:r/>
            <w:r>
              <w:rPr>
                <w:sz w:val="18"/>
              </w:rPr>
              <w:t>P3</w:t>
            </w:r>
          </w:p>
        </w:tc>
        <w:tc>
          <w:tcPr>
            <w:tcW w:type="dxa" w:w="1949"/>
          </w:tcPr>
          <w:p>
            <w:r/>
            <w:r>
              <w:rPr>
                <w:sz w:val="18"/>
              </w:rPr>
              <w:t>4 heures ouvrées</w:t>
            </w:r>
          </w:p>
        </w:tc>
        <w:tc>
          <w:tcPr>
            <w:tcW w:type="dxa" w:w="1949"/>
          </w:tcPr>
          <w:p>
            <w:r/>
            <w:r>
              <w:rPr>
                <w:sz w:val="18"/>
              </w:rPr>
              <w:t>1 jour ouvré</w:t>
            </w:r>
          </w:p>
        </w:tc>
        <w:tc>
          <w:tcPr>
            <w:tcW w:type="dxa" w:w="1949"/>
          </w:tcPr>
          <w:p>
            <w:r/>
            <w:r>
              <w:rPr>
                <w:sz w:val="18"/>
              </w:rPr>
              <w:t>3 jours ouvrés</w:t>
            </w:r>
          </w:p>
        </w:tc>
        <w:tc>
          <w:tcPr>
            <w:tcW w:type="dxa" w:w="1949"/>
          </w:tcPr>
          <w:p>
            <w:r/>
            <w:r>
              <w:rPr>
                <w:sz w:val="18"/>
              </w:rPr>
              <w:t>Automatique</w:t>
            </w:r>
          </w:p>
        </w:tc>
      </w:tr>
      <w:tr>
        <w:tc>
          <w:tcPr>
            <w:tcW w:type="dxa" w:w="1949"/>
          </w:tcPr>
          <w:p>
            <w:r/>
            <w:r>
              <w:rPr>
                <w:sz w:val="18"/>
              </w:rPr>
              <w:t>P4</w:t>
            </w:r>
          </w:p>
        </w:tc>
        <w:tc>
          <w:tcPr>
            <w:tcW w:type="dxa" w:w="1949"/>
          </w:tcPr>
          <w:p>
            <w:r/>
            <w:r>
              <w:rPr>
                <w:sz w:val="18"/>
              </w:rPr>
              <w:t>1 jour ouvré</w:t>
            </w:r>
          </w:p>
        </w:tc>
        <w:tc>
          <w:tcPr>
            <w:tcW w:type="dxa" w:w="1949"/>
          </w:tcPr>
          <w:p>
            <w:r/>
            <w:r>
              <w:rPr>
                <w:sz w:val="18"/>
              </w:rPr>
              <w:t>5 jours ouvrés</w:t>
            </w:r>
          </w:p>
        </w:tc>
        <w:tc>
          <w:tcPr>
            <w:tcW w:type="dxa" w:w="1949"/>
          </w:tcPr>
          <w:p>
            <w:r/>
            <w:r>
              <w:rPr>
                <w:sz w:val="18"/>
              </w:rPr>
              <w:t>10 jours ouvrés</w:t>
            </w:r>
          </w:p>
        </w:tc>
        <w:tc>
          <w:tcPr>
            <w:tcW w:type="dxa" w:w="1949"/>
          </w:tcPr>
          <w:p>
            <w:r/>
            <w:r>
              <w:rPr>
                <w:sz w:val="18"/>
              </w:rPr>
              <w:t>Automatique</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seuil d'escalade automatique ne dispense pas de l'escalade manuelle anticipée. Un intervenant qui identifie dès la première minute que l'incident dépasse son périmètre doit escalader immédiatement.</w:t>
            </w:r>
          </w:p>
        </w:tc>
      </w:tr>
    </w:tbl>
    <w:p/>
    <w:p>
      <w:r>
        <w:br w:type="page"/>
      </w:r>
    </w:p>
    <w:p>
      <w:pPr>
        <w:pStyle w:val="Heading1"/>
      </w:pPr>
      <w:r>
        <w:rPr>
          <w:color w:val="8A2B06"/>
        </w:rPr>
        <w:t>7. Escalade hiérarchique et information de la direction</w:t>
      </w:r>
    </w:p>
    <w:p>
      <w:r>
        <w:rPr>
          <w:i/>
          <w:color w:val="555555"/>
        </w:rPr>
        <w:t>L'escalade hiérarchique mobilise des moyens et des décisions, elle ne remplace pas l'escalade technique.</w:t>
      </w:r>
    </w:p>
    <w:p>
      <w:r>
        <w:t>L'escalade hiérarchique poursuit une finalité distincte de l'escalade fonctionnelle : elle ne vise pas à obtenir une expertise technique supplémentaire mais à mobiliser des moyens, à arbitrer entre des priorités concurrentes, à autoriser une action à fort impact ou à assurer la communication auprès des parties prenantes. Elle intervient donc en parallèle et non en substitution. La confusion entre ces deux mécanismes conduit à une pratique fréquente et contre-productive consistant à alerter la hiérarchie en espérant une accélération technique qu'elle n'est pas en mesure de produire.</w:t>
      </w:r>
    </w:p>
    <w:p>
      <w:r>
        <w:t>Les seuils de déclenchement sont définis par priorité et par durée écoulée. Un incident P1 déclenche l'information immédiate du responsable du centre de services et du responsable d'exploitation. À trente minutes sans perspective de rétablissement, le directeur des opérations est informé. À deux heures, la direction générale et la direction commerciale sont informées, cette dernière assurant la relation avec les clients affectés. À quatre heures, la cellule de crise est réunie de plein droit. Ces seuils sont automatisés dans l'outil et ne dépendent d'aucune appréciation individuelle.</w:t>
      </w:r>
    </w:p>
    <w:p>
      <w:r>
        <w:t>Le format de l'information transmise à la hiérarchie diffère radicalement du dossier technique. Il doit tenir en cinq points : ce qui ne fonctionne pas et depuis quand, qui est affecté et dans quelle mesure, ce qui est fait actuellement, le délai estimé de rétablissement avec son niveau de confiance, et la décision ou le moyen attendu de la hiérarchie. Ce dernier point est essentiel : une information sans demande explicite conduit le destinataire à s'inviter dans la conduite technique, ce qui perturbe systématiquement le traitement.</w:t>
      </w:r>
    </w:p>
    <w:p>
      <w:pPr>
        <w:pStyle w:val="Heading2"/>
      </w:pPr>
      <w:r>
        <w:t>Seuils d'escalade hiérarchique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Priorité</w:t>
            </w:r>
          </w:p>
        </w:tc>
        <w:tc>
          <w:tcPr>
            <w:tcW w:type="dxa" w:w="1949"/>
            <w:shd w:val="clear" w:color="auto" w:fill="8A2B06"/>
          </w:tcPr>
          <w:p>
            <w:r/>
            <w:r>
              <w:rPr>
                <w:b/>
                <w:color w:val="FFFFFF"/>
                <w:sz w:val="18"/>
              </w:rPr>
              <w:t>Immédiat</w:t>
            </w:r>
          </w:p>
        </w:tc>
        <w:tc>
          <w:tcPr>
            <w:tcW w:type="dxa" w:w="1949"/>
            <w:shd w:val="clear" w:color="auto" w:fill="8A2B06"/>
          </w:tcPr>
          <w:p>
            <w:r/>
            <w:r>
              <w:rPr>
                <w:b/>
                <w:color w:val="FFFFFF"/>
                <w:sz w:val="18"/>
              </w:rPr>
              <w:t>30 minutes</w:t>
            </w:r>
          </w:p>
        </w:tc>
        <w:tc>
          <w:tcPr>
            <w:tcW w:type="dxa" w:w="1949"/>
            <w:shd w:val="clear" w:color="auto" w:fill="8A2B06"/>
          </w:tcPr>
          <w:p>
            <w:r/>
            <w:r>
              <w:rPr>
                <w:b/>
                <w:color w:val="FFFFFF"/>
                <w:sz w:val="18"/>
              </w:rPr>
              <w:t>2 heures</w:t>
            </w:r>
          </w:p>
        </w:tc>
        <w:tc>
          <w:tcPr>
            <w:tcW w:type="dxa" w:w="1949"/>
            <w:shd w:val="clear" w:color="auto" w:fill="8A2B06"/>
          </w:tcPr>
          <w:p>
            <w:r/>
            <w:r>
              <w:rPr>
                <w:b/>
                <w:color w:val="FFFFFF"/>
                <w:sz w:val="18"/>
              </w:rPr>
              <w:t>4 heures</w:t>
            </w:r>
          </w:p>
        </w:tc>
      </w:tr>
      <w:tr>
        <w:tc>
          <w:tcPr>
            <w:tcW w:type="dxa" w:w="1949"/>
          </w:tcPr>
          <w:p>
            <w:r/>
            <w:r>
              <w:rPr>
                <w:sz w:val="18"/>
              </w:rPr>
              <w:t>P1</w:t>
            </w:r>
          </w:p>
        </w:tc>
        <w:tc>
          <w:tcPr>
            <w:tcW w:type="dxa" w:w="1949"/>
          </w:tcPr>
          <w:p>
            <w:r/>
            <w:r>
              <w:rPr>
                <w:sz w:val="18"/>
              </w:rPr>
              <w:t>Responsable centre de services et exploitation</w:t>
            </w:r>
          </w:p>
        </w:tc>
        <w:tc>
          <w:tcPr>
            <w:tcW w:type="dxa" w:w="1949"/>
          </w:tcPr>
          <w:p>
            <w:r/>
            <w:r>
              <w:rPr>
                <w:sz w:val="18"/>
              </w:rPr>
              <w:t>Directeur des opérations</w:t>
            </w:r>
          </w:p>
        </w:tc>
        <w:tc>
          <w:tcPr>
            <w:tcW w:type="dxa" w:w="1949"/>
          </w:tcPr>
          <w:p>
            <w:r/>
            <w:r>
              <w:rPr>
                <w:sz w:val="18"/>
              </w:rPr>
              <w:t>Direction générale et commerciale</w:t>
            </w:r>
          </w:p>
        </w:tc>
        <w:tc>
          <w:tcPr>
            <w:tcW w:type="dxa" w:w="1949"/>
          </w:tcPr>
          <w:p>
            <w:r/>
            <w:r>
              <w:rPr>
                <w:sz w:val="18"/>
              </w:rPr>
              <w:t>Cellule de crise</w:t>
            </w:r>
          </w:p>
        </w:tc>
      </w:tr>
      <w:tr>
        <w:tc>
          <w:tcPr>
            <w:tcW w:type="dxa" w:w="1949"/>
          </w:tcPr>
          <w:p>
            <w:r/>
            <w:r>
              <w:rPr>
                <w:sz w:val="18"/>
              </w:rPr>
              <w:t>P2</w:t>
            </w:r>
          </w:p>
        </w:tc>
        <w:tc>
          <w:tcPr>
            <w:tcW w:type="dxa" w:w="1949"/>
          </w:tcPr>
          <w:p>
            <w:r/>
            <w:r>
              <w:rPr>
                <w:sz w:val="18"/>
              </w:rPr>
              <w:t>Responsable centre de services</w:t>
            </w:r>
          </w:p>
        </w:tc>
        <w:tc>
          <w:tcPr>
            <w:tcW w:type="dxa" w:w="1949"/>
          </w:tcPr>
          <w:p>
            <w:r/>
            <w:r>
              <w:rPr>
                <w:sz w:val="18"/>
              </w:rPr>
              <w:t>Responsable d'exploitation</w:t>
            </w:r>
          </w:p>
        </w:tc>
        <w:tc>
          <w:tcPr>
            <w:tcW w:type="dxa" w:w="1949"/>
          </w:tcPr>
          <w:p>
            <w:r/>
            <w:r>
              <w:rPr>
                <w:sz w:val="18"/>
              </w:rPr>
              <w:t>Directeur des opérations</w:t>
            </w:r>
          </w:p>
        </w:tc>
        <w:tc>
          <w:tcPr>
            <w:tcW w:type="dxa" w:w="1949"/>
          </w:tcPr>
          <w:p>
            <w:r/>
            <w:r>
              <w:rPr>
                <w:sz w:val="18"/>
              </w:rPr>
              <w:t>Direction générale si non résolu</w:t>
            </w:r>
          </w:p>
        </w:tc>
      </w:tr>
      <w:tr>
        <w:tc>
          <w:tcPr>
            <w:tcW w:type="dxa" w:w="1949"/>
          </w:tcPr>
          <w:p>
            <w:r/>
            <w:r>
              <w:rPr>
                <w:sz w:val="18"/>
              </w:rPr>
              <w:t>P3</w:t>
            </w:r>
          </w:p>
        </w:tc>
        <w:tc>
          <w:tcPr>
            <w:tcW w:type="dxa" w:w="1949"/>
          </w:tcPr>
          <w:p>
            <w:r/>
            <w:r>
              <w:rPr>
                <w:sz w:val="18"/>
              </w:rPr>
              <w:t>—</w:t>
            </w:r>
          </w:p>
        </w:tc>
        <w:tc>
          <w:tcPr>
            <w:tcW w:type="dxa" w:w="1949"/>
          </w:tcPr>
          <w:p>
            <w:r/>
            <w:r>
              <w:rPr>
                <w:sz w:val="18"/>
              </w:rPr>
              <w:t>—</w:t>
            </w:r>
          </w:p>
        </w:tc>
        <w:tc>
          <w:tcPr>
            <w:tcW w:type="dxa" w:w="1949"/>
          </w:tcPr>
          <w:p>
            <w:r/>
            <w:r>
              <w:rPr>
                <w:sz w:val="18"/>
              </w:rPr>
              <w:t>Responsable centre de services au-delà d'un jour</w:t>
            </w:r>
          </w:p>
        </w:tc>
        <w:tc>
          <w:tcPr>
            <w:tcW w:type="dxa" w:w="1949"/>
          </w:tcPr>
          <w:p>
            <w:r/>
            <w:r>
              <w:rPr>
                <w:sz w:val="18"/>
              </w:rPr>
              <w:t>—</w:t>
            </w:r>
          </w:p>
        </w:tc>
      </w:tr>
      <w:tr>
        <w:tc>
          <w:tcPr>
            <w:tcW w:type="dxa" w:w="1949"/>
          </w:tcPr>
          <w:p>
            <w:r/>
            <w:r>
              <w:rPr>
                <w:sz w:val="18"/>
              </w:rPr>
              <w:t>P4</w:t>
            </w:r>
          </w:p>
        </w:tc>
        <w:tc>
          <w:tcPr>
            <w:tcW w:type="dxa" w:w="1949"/>
          </w:tcPr>
          <w:p>
            <w:r/>
            <w:r>
              <w:rPr>
                <w:sz w:val="18"/>
              </w:rPr>
              <w:t>—</w:t>
            </w:r>
          </w:p>
        </w:tc>
        <w:tc>
          <w:tcPr>
            <w:tcW w:type="dxa" w:w="1949"/>
          </w:tcPr>
          <w:p>
            <w:r/>
            <w:r>
              <w:rPr>
                <w:sz w:val="18"/>
              </w:rPr>
              <w:t>—</w:t>
            </w:r>
          </w:p>
        </w:tc>
        <w:tc>
          <w:tcPr>
            <w:tcW w:type="dxa" w:w="1949"/>
          </w:tcPr>
          <w:p>
            <w:r/>
            <w:r>
              <w:rPr>
                <w:sz w:val="18"/>
              </w:rPr>
              <w:t>—</w:t>
            </w:r>
          </w:p>
        </w:tc>
        <w:tc>
          <w:tcPr>
            <w:tcW w:type="dxa" w:w="1949"/>
          </w:tcPr>
          <w:p>
            <w:r/>
            <w:r>
              <w:rPr>
                <w:sz w:val="18"/>
              </w:rPr>
              <w:t>Revue hebdomadaire</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Toute communication à la hiérarchie précise explicitement ce qui est attendu d'elle : une décision, un moyen, un arbitrage, ou une simple information sans action requise.</w:t>
            </w:r>
          </w:p>
        </w:tc>
      </w:tr>
    </w:tbl>
    <w:p/>
    <w:p>
      <w:r>
        <w:br w:type="page"/>
      </w:r>
    </w:p>
    <w:p>
      <w:pPr>
        <w:pStyle w:val="Heading1"/>
      </w:pPr>
      <w:r>
        <w:rPr>
          <w:color w:val="8A2B06"/>
        </w:rPr>
        <w:t>8. Gestion des incidents majeurs et cellule de crise</w:t>
      </w:r>
    </w:p>
    <w:p>
      <w:r>
        <w:rPr>
          <w:i/>
          <w:color w:val="555555"/>
        </w:rPr>
        <w:t>En situation de crise, la structure de commandement prime sur la compétence individuelle.</w:t>
      </w:r>
    </w:p>
    <w:p>
      <w:r>
        <w:t>L'activation de la cellule de crise intervient sur décision du directeur des opérations ou de plein droit après quatre heures d'incident P1 non résolu. Elle repose sur une répartition stricte des rôles. Le commandant d'incident pilote, arbitre et décide ; il ne réalise aucune action technique, ce qui constitue la règle la plus fréquemment enfreinte et la plus déterminante. Le responsable technique coordonne les investigations et les actions de remédiation. Le chargé de communication gère l'information des clients et des parties prenantes internes. Le scribe consigne la chronologie horodatée de tous les faits, décisions et actions.</w:t>
      </w:r>
    </w:p>
    <w:p>
      <w:r>
        <w:t>Le rôle du scribe est fréquemment négligé alors qu'il conditionne à la fois l'efficacité de la conduite en cours et la qualité de l'analyse ultérieure. En situation dégradée, la mémoire collective est notoirement défaillante : les participants divergent sur l'ordre des événements dès la deuxième heure. Une chronologie tenue en temps réel, dans un canal partagé, évite les investigations redondantes, permet aux intervenants rejoignant la cellule de se mettre à niveau sans mobiliser les autres, et constitue le matériau du retour d'expérience.</w:t>
      </w:r>
    </w:p>
    <w:p>
      <w:r>
        <w:t>La conduite de la cellule suit un rythme régulier de points de situation, toutes les trente minutes en P1. Chaque point suit une trame identique et limitée à cinq minutes : état du service, actions en cours et leur échéance, résultats depuis le point précédent, décisions requises, prochaine échéance. Entre deux points, les intervenants travaillent sans interruption. Cette discipline protège le temps d'investigation, régulièrement fragmenté par des sollicitations individuelles qui constituent la principale cause d'allongement de la durée des incidents majeurs.</w:t>
      </w:r>
    </w:p>
    <w:p>
      <w:pPr>
        <w:pStyle w:val="Heading2"/>
      </w:pPr>
      <w:r>
        <w:t>Règles de conduite en cellule de crise</w:t>
      </w:r>
    </w:p>
    <w:p>
      <w:pPr>
        <w:pStyle w:val="ListBullet"/>
        <w:spacing w:after="60"/>
      </w:pPr>
      <w:r>
        <w:t>Une seule personne décide : le commandant d'incident.</w:t>
      </w:r>
    </w:p>
    <w:p>
      <w:pPr>
        <w:pStyle w:val="ListBullet"/>
        <w:spacing w:after="60"/>
      </w:pPr>
      <w:r>
        <w:t>Aucune action sur la production n'est engagée sans validation explicite.</w:t>
      </w:r>
    </w:p>
    <w:p>
      <w:pPr>
        <w:pStyle w:val="ListBullet"/>
        <w:spacing w:after="60"/>
      </w:pPr>
      <w:r>
        <w:t>Toute action réalisée est annoncée dans le canal avant et après son exécution.</w:t>
      </w:r>
    </w:p>
    <w:p>
      <w:pPr>
        <w:pStyle w:val="ListBullet"/>
        <w:spacing w:after="60"/>
      </w:pPr>
      <w:r>
        <w:t>Les points de situation durent cinq minutes et suivent une trame fixe.</w:t>
      </w:r>
    </w:p>
    <w:p>
      <w:pPr>
        <w:pStyle w:val="ListBullet"/>
        <w:spacing w:after="60"/>
      </w:pPr>
      <w:r>
        <w:t>Les intervenants ne sont pas sollicités individuellement entre deux points.</w:t>
      </w:r>
    </w:p>
    <w:p>
      <w:pPr>
        <w:pStyle w:val="ListBullet"/>
        <w:spacing w:after="60"/>
      </w:pPr>
      <w:r>
        <w:t>Le commandant d'incident est relevé toutes les quatre heures sur les crises longues.</w:t>
      </w:r>
    </w:p>
    <w:p>
      <w:pPr>
        <w:pStyle w:val="ListBullet"/>
        <w:spacing w:after="60"/>
      </w:pPr>
      <w:r>
        <w:t>Aucune modification non liée au rétablissement n'est déployée durant la crise.</w:t>
      </w:r>
    </w:p>
    <w:p>
      <w:pPr>
        <w:pStyle w:val="Heading2"/>
      </w:pPr>
      <w:r>
        <w:t>Rôles de la cellule de crise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8A2B06"/>
          </w:tcPr>
          <w:p>
            <w:r/>
            <w:r>
              <w:rPr>
                <w:b/>
                <w:color w:val="FFFFFF"/>
                <w:sz w:val="18"/>
              </w:rPr>
              <w:t>Rôle</w:t>
            </w:r>
          </w:p>
        </w:tc>
        <w:tc>
          <w:tcPr>
            <w:tcW w:type="dxa" w:w="2436"/>
            <w:shd w:val="clear" w:color="auto" w:fill="8A2B06"/>
          </w:tcPr>
          <w:p>
            <w:r/>
            <w:r>
              <w:rPr>
                <w:b/>
                <w:color w:val="FFFFFF"/>
                <w:sz w:val="18"/>
              </w:rPr>
              <w:t>Titulaire type</w:t>
            </w:r>
          </w:p>
        </w:tc>
        <w:tc>
          <w:tcPr>
            <w:tcW w:type="dxa" w:w="2436"/>
            <w:shd w:val="clear" w:color="auto" w:fill="8A2B06"/>
          </w:tcPr>
          <w:p>
            <w:r/>
            <w:r>
              <w:rPr>
                <w:b/>
                <w:color w:val="FFFFFF"/>
                <w:sz w:val="18"/>
              </w:rPr>
              <w:t>Mission</w:t>
            </w:r>
          </w:p>
        </w:tc>
        <w:tc>
          <w:tcPr>
            <w:tcW w:type="dxa" w:w="2436"/>
            <w:shd w:val="clear" w:color="auto" w:fill="8A2B06"/>
          </w:tcPr>
          <w:p>
            <w:r/>
            <w:r>
              <w:rPr>
                <w:b/>
                <w:color w:val="FFFFFF"/>
                <w:sz w:val="18"/>
              </w:rPr>
              <w:t>Interdit</w:t>
            </w:r>
          </w:p>
        </w:tc>
      </w:tr>
      <w:tr>
        <w:tc>
          <w:tcPr>
            <w:tcW w:type="dxa" w:w="2436"/>
          </w:tcPr>
          <w:p>
            <w:r/>
            <w:r>
              <w:rPr>
                <w:sz w:val="18"/>
              </w:rPr>
              <w:t>Commandant d'incident</w:t>
            </w:r>
          </w:p>
        </w:tc>
        <w:tc>
          <w:tcPr>
            <w:tcW w:type="dxa" w:w="2436"/>
          </w:tcPr>
          <w:p>
            <w:r/>
            <w:r>
              <w:rPr>
                <w:sz w:val="18"/>
              </w:rPr>
              <w:t>Responsable d'exploitation d'astreinte</w:t>
            </w:r>
          </w:p>
        </w:tc>
        <w:tc>
          <w:tcPr>
            <w:tcW w:type="dxa" w:w="2436"/>
          </w:tcPr>
          <w:p>
            <w:r/>
            <w:r>
              <w:rPr>
                <w:sz w:val="18"/>
              </w:rPr>
              <w:t>Pilote, arbitre, décide, protège le temps des équipes</w:t>
            </w:r>
          </w:p>
        </w:tc>
        <w:tc>
          <w:tcPr>
            <w:tcW w:type="dxa" w:w="2436"/>
          </w:tcPr>
          <w:p>
            <w:r/>
            <w:r>
              <w:rPr>
                <w:sz w:val="18"/>
              </w:rPr>
              <w:t>Réaliser une action technique</w:t>
            </w:r>
          </w:p>
        </w:tc>
      </w:tr>
      <w:tr>
        <w:tc>
          <w:tcPr>
            <w:tcW w:type="dxa" w:w="2436"/>
          </w:tcPr>
          <w:p>
            <w:r/>
            <w:r>
              <w:rPr>
                <w:sz w:val="18"/>
              </w:rPr>
              <w:t>Responsable technique</w:t>
            </w:r>
          </w:p>
        </w:tc>
        <w:tc>
          <w:tcPr>
            <w:tcW w:type="dxa" w:w="2436"/>
          </w:tcPr>
          <w:p>
            <w:r/>
            <w:r>
              <w:rPr>
                <w:sz w:val="18"/>
              </w:rPr>
              <w:t>Expert N2 du domaine principal</w:t>
            </w:r>
          </w:p>
        </w:tc>
        <w:tc>
          <w:tcPr>
            <w:tcW w:type="dxa" w:w="2436"/>
          </w:tcPr>
          <w:p>
            <w:r/>
            <w:r>
              <w:rPr>
                <w:sz w:val="18"/>
              </w:rPr>
              <w:t>Coordonne les investigations et les remédiations</w:t>
            </w:r>
          </w:p>
        </w:tc>
        <w:tc>
          <w:tcPr>
            <w:tcW w:type="dxa" w:w="2436"/>
          </w:tcPr>
          <w:p>
            <w:r/>
            <w:r>
              <w:rPr>
                <w:sz w:val="18"/>
              </w:rPr>
              <w:t>Communiquer vers l'externe</w:t>
            </w:r>
          </w:p>
        </w:tc>
      </w:tr>
      <w:tr>
        <w:tc>
          <w:tcPr>
            <w:tcW w:type="dxa" w:w="2436"/>
          </w:tcPr>
          <w:p>
            <w:r/>
            <w:r>
              <w:rPr>
                <w:sz w:val="18"/>
              </w:rPr>
              <w:t>Chargé de communication</w:t>
            </w:r>
          </w:p>
        </w:tc>
        <w:tc>
          <w:tcPr>
            <w:tcW w:type="dxa" w:w="2436"/>
          </w:tcPr>
          <w:p>
            <w:r/>
            <w:r>
              <w:rPr>
                <w:sz w:val="18"/>
              </w:rPr>
              <w:t>Responsable centre de services</w:t>
            </w:r>
          </w:p>
        </w:tc>
        <w:tc>
          <w:tcPr>
            <w:tcW w:type="dxa" w:w="2436"/>
          </w:tcPr>
          <w:p>
            <w:r/>
            <w:r>
              <w:rPr>
                <w:sz w:val="18"/>
              </w:rPr>
              <w:t>Informe clients et parties prenantes internes</w:t>
            </w:r>
          </w:p>
        </w:tc>
        <w:tc>
          <w:tcPr>
            <w:tcW w:type="dxa" w:w="2436"/>
          </w:tcPr>
          <w:p>
            <w:r/>
            <w:r>
              <w:rPr>
                <w:sz w:val="18"/>
              </w:rPr>
              <w:t>Décider d'une action technique</w:t>
            </w:r>
          </w:p>
        </w:tc>
      </w:tr>
      <w:tr>
        <w:tc>
          <w:tcPr>
            <w:tcW w:type="dxa" w:w="2436"/>
          </w:tcPr>
          <w:p>
            <w:r/>
            <w:r>
              <w:rPr>
                <w:sz w:val="18"/>
              </w:rPr>
              <w:t>Scribe</w:t>
            </w:r>
          </w:p>
        </w:tc>
        <w:tc>
          <w:tcPr>
            <w:tcW w:type="dxa" w:w="2436"/>
          </w:tcPr>
          <w:p>
            <w:r/>
            <w:r>
              <w:rPr>
                <w:sz w:val="18"/>
              </w:rPr>
              <w:t>Technicien N1 désigné</w:t>
            </w:r>
          </w:p>
        </w:tc>
        <w:tc>
          <w:tcPr>
            <w:tcW w:type="dxa" w:w="2436"/>
          </w:tcPr>
          <w:p>
            <w:r/>
            <w:r>
              <w:rPr>
                <w:sz w:val="18"/>
              </w:rPr>
              <w:t>Consigne la chronologie horodatée en temps réel</w:t>
            </w:r>
          </w:p>
        </w:tc>
        <w:tc>
          <w:tcPr>
            <w:tcW w:type="dxa" w:w="2436"/>
          </w:tcPr>
          <w:p>
            <w:r/>
            <w:r>
              <w:rPr>
                <w:sz w:val="18"/>
              </w:rPr>
              <w:t>Participer aux investigations</w:t>
            </w:r>
          </w:p>
        </w:tc>
      </w:tr>
      <w:tr>
        <w:tc>
          <w:tcPr>
            <w:tcW w:type="dxa" w:w="2436"/>
          </w:tcPr>
          <w:p>
            <w:r/>
            <w:r>
              <w:rPr>
                <w:sz w:val="18"/>
              </w:rPr>
              <w:t>Intervenants</w:t>
            </w:r>
          </w:p>
        </w:tc>
        <w:tc>
          <w:tcPr>
            <w:tcW w:type="dxa" w:w="2436"/>
          </w:tcPr>
          <w:p>
            <w:r/>
            <w:r>
              <w:rPr>
                <w:sz w:val="18"/>
              </w:rPr>
              <w:t>Experts mobilisés</w:t>
            </w:r>
          </w:p>
        </w:tc>
        <w:tc>
          <w:tcPr>
            <w:tcW w:type="dxa" w:w="2436"/>
          </w:tcPr>
          <w:p>
            <w:r/>
            <w:r>
              <w:rPr>
                <w:sz w:val="18"/>
              </w:rPr>
              <w:t>Exécutent les actions décidées</w:t>
            </w:r>
          </w:p>
        </w:tc>
        <w:tc>
          <w:tcPr>
            <w:tcW w:type="dxa" w:w="2436"/>
          </w:tcPr>
          <w:p>
            <w:r/>
            <w:r>
              <w:rPr>
                <w:sz w:val="18"/>
              </w:rPr>
              <w:t>Engager une action sans validation</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Un commandant d'incident qui met les mains dans la technique cesse de piloter. C'est le manquement le plus fréquent et le plus coûteux en durée de crise.</w:t>
            </w:r>
          </w:p>
        </w:tc>
      </w:tr>
    </w:tbl>
    <w:p/>
    <w:p>
      <w:r>
        <w:br w:type="page"/>
      </w:r>
    </w:p>
    <w:p>
      <w:pPr>
        <w:pStyle w:val="Heading1"/>
      </w:pPr>
      <w:r>
        <w:rPr>
          <w:color w:val="8A2B06"/>
        </w:rPr>
        <w:t>9. Organisation des astreintes</w:t>
      </w:r>
    </w:p>
    <w:p>
      <w:r>
        <w:rPr>
          <w:i/>
          <w:color w:val="555555"/>
        </w:rPr>
        <w:t>L'astreinte garantit la continuité de la couverture hors heures ouvrées ; son organisation doit être soutenable dans la durée.</w:t>
      </w:r>
    </w:p>
    <w:p>
      <w:r>
        <w:t>Le dispositif d'astreinte couvre les périodes hors horaires étendus, soit de 20 h 00 à 7 h 00 en semaine et l'intégralité des week-ends et jours fériés. Il repose sur trois lignes simultanées : une astreinte de niveau 2 par domaine technique majeur, une astreinte de coordination assurée par un responsable d'exploitation, et une astreinte de niveau 3 mobilisable uniquement sur incident P1. Le tour d'astreinte est d'une semaine complète, du lundi 8 h 00 au lundi suivant 8 h 00, avec une fréquence maximale d'une semaine sur cinq par personne, seuil négocié avec les représentants du personnel.</w:t>
      </w:r>
    </w:p>
    <w:p>
      <w:r>
        <w:t>Les obligations du collaborateur d'astreinte sont précisément définies. Il doit être joignable dans un délai de cinq minutes sur le numéro communiqué, être en mesure de se connecter dans un délai de quinze minutes depuis un poste professionnel disposant d'une connexion suffisante, et rester dans un périmètre compatible avec ces contraintes. Il n'est en revanche pas tenu de rester à son domicile, l'astreinte se distinguant du travail effectif par la liberté de vaquer à ses occupations personnelles sous réserve de ces obligations de disponibilité.</w:t>
      </w:r>
    </w:p>
    <w:p>
      <w:r>
        <w:t>La compensation combine une indemnité forfaitaire d'astreinte, versée pour la sujétion de disponibilité indépendamment de toute intervention, et la rémunération des interventions effectives en temps de travail effectif, majorée selon les règles applicables au travail de nuit, du dimanche ou des jours fériés. Le temps d'intervention ouvre droit à un repos compensateur lorsqu'il porte atteinte au repos quotidien de onze heures consécutives, l'intervention nocturne décalant alors la prise de poste du lendemain. Le suivi de cette règle relève du responsable hiérarchique et fait l'objet d'un contrôle mensuel.</w:t>
      </w:r>
    </w:p>
    <w:p>
      <w:pPr>
        <w:pStyle w:val="Heading2"/>
      </w:pPr>
      <w:r>
        <w:t>Obligations et droits du collaborateur d'astreinte</w:t>
      </w:r>
    </w:p>
    <w:p>
      <w:pPr>
        <w:pStyle w:val="ListBullet"/>
        <w:spacing w:after="60"/>
      </w:pPr>
      <w:r>
        <w:t>Être joignable dans un délai de cinq minutes sur le numéro communiqué.</w:t>
      </w:r>
    </w:p>
    <w:p>
      <w:pPr>
        <w:pStyle w:val="ListBullet"/>
        <w:spacing w:after="60"/>
      </w:pPr>
      <w:r>
        <w:t>Disposer d'un poste professionnel et d'une connexion permettant l'intervention sous quinze minutes.</w:t>
      </w:r>
    </w:p>
    <w:p>
      <w:pPr>
        <w:pStyle w:val="ListBullet"/>
        <w:spacing w:after="60"/>
      </w:pPr>
      <w:r>
        <w:t>Signaler toute indisponibilité prévisible au moins quarante-huit heures à l'avance.</w:t>
      </w:r>
    </w:p>
    <w:p>
      <w:pPr>
        <w:pStyle w:val="ListBullet"/>
        <w:spacing w:after="60"/>
      </w:pPr>
      <w:r>
        <w:t>Consigner chaque intervention dans l'outil, avec sa durée réelle et son objet.</w:t>
      </w:r>
    </w:p>
    <w:p>
      <w:pPr>
        <w:pStyle w:val="ListBullet"/>
        <w:spacing w:after="60"/>
      </w:pPr>
      <w:r>
        <w:t>Bénéficier du repos compensateur lorsque le repos quotidien de onze heures est entamé.</w:t>
      </w:r>
    </w:p>
    <w:p>
      <w:pPr>
        <w:pStyle w:val="ListBullet"/>
        <w:spacing w:after="60"/>
      </w:pPr>
      <w:r>
        <w:t>Refuser une intervention sortant du périmètre de l'astreinte et escalader à la coordination.</w:t>
      </w:r>
    </w:p>
    <w:p>
      <w:pPr>
        <w:pStyle w:val="ListBullet"/>
        <w:spacing w:after="60"/>
      </w:pPr>
      <w:r>
        <w:t>Disposer du planning d'astreinte au moins quinze jours à l'avance, sauf circonstance exceptionnelle.</w:t>
      </w:r>
    </w:p>
    <w:p>
      <w:pPr>
        <w:pStyle w:val="Heading2"/>
      </w:pPr>
      <w:r>
        <w:t>Organisation et compensation des astreintes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Ligne</w:t>
            </w:r>
          </w:p>
        </w:tc>
        <w:tc>
          <w:tcPr>
            <w:tcW w:type="dxa" w:w="1949"/>
            <w:shd w:val="clear" w:color="auto" w:fill="8A2B06"/>
          </w:tcPr>
          <w:p>
            <w:r/>
            <w:r>
              <w:rPr>
                <w:b/>
                <w:color w:val="FFFFFF"/>
                <w:sz w:val="18"/>
              </w:rPr>
              <w:t>Périmètre</w:t>
            </w:r>
          </w:p>
        </w:tc>
        <w:tc>
          <w:tcPr>
            <w:tcW w:type="dxa" w:w="1949"/>
            <w:shd w:val="clear" w:color="auto" w:fill="8A2B06"/>
          </w:tcPr>
          <w:p>
            <w:r/>
            <w:r>
              <w:rPr>
                <w:b/>
                <w:color w:val="FFFFFF"/>
                <w:sz w:val="18"/>
              </w:rPr>
              <w:t>Délai de réaction</w:t>
            </w:r>
          </w:p>
        </w:tc>
        <w:tc>
          <w:tcPr>
            <w:tcW w:type="dxa" w:w="1949"/>
            <w:shd w:val="clear" w:color="auto" w:fill="8A2B06"/>
          </w:tcPr>
          <w:p>
            <w:r/>
            <w:r>
              <w:rPr>
                <w:b/>
                <w:color w:val="FFFFFF"/>
                <w:sz w:val="18"/>
              </w:rPr>
              <w:t>Fréquence maximale</w:t>
            </w:r>
          </w:p>
        </w:tc>
        <w:tc>
          <w:tcPr>
            <w:tcW w:type="dxa" w:w="1949"/>
            <w:shd w:val="clear" w:color="auto" w:fill="8A2B06"/>
          </w:tcPr>
          <w:p>
            <w:r/>
            <w:r>
              <w:rPr>
                <w:b/>
                <w:color w:val="FFFFFF"/>
                <w:sz w:val="18"/>
              </w:rPr>
              <w:t>Indemnité hebdomadaire</w:t>
            </w:r>
          </w:p>
        </w:tc>
      </w:tr>
      <w:tr>
        <w:tc>
          <w:tcPr>
            <w:tcW w:type="dxa" w:w="1949"/>
          </w:tcPr>
          <w:p>
            <w:r/>
            <w:r>
              <w:rPr>
                <w:sz w:val="18"/>
              </w:rPr>
              <w:t>N2 domaine applicatif</w:t>
            </w:r>
          </w:p>
        </w:tc>
        <w:tc>
          <w:tcPr>
            <w:tcW w:type="dxa" w:w="1949"/>
          </w:tcPr>
          <w:p>
            <w:r/>
            <w:r>
              <w:rPr>
                <w:sz w:val="18"/>
              </w:rPr>
              <w:t>Applications métier</w:t>
            </w:r>
          </w:p>
        </w:tc>
        <w:tc>
          <w:tcPr>
            <w:tcW w:type="dxa" w:w="1949"/>
          </w:tcPr>
          <w:p>
            <w:r/>
            <w:r>
              <w:rPr>
                <w:sz w:val="18"/>
              </w:rPr>
              <w:t>15 minutes</w:t>
            </w:r>
          </w:p>
        </w:tc>
        <w:tc>
          <w:tcPr>
            <w:tcW w:type="dxa" w:w="1949"/>
          </w:tcPr>
          <w:p>
            <w:r/>
            <w:r>
              <w:rPr>
                <w:sz w:val="18"/>
              </w:rPr>
              <w:t>1 semaine sur 5</w:t>
            </w:r>
          </w:p>
        </w:tc>
        <w:tc>
          <w:tcPr>
            <w:tcW w:type="dxa" w:w="1949"/>
          </w:tcPr>
          <w:p>
            <w:r/>
            <w:r>
              <w:rPr>
                <w:sz w:val="18"/>
              </w:rPr>
              <w:t>310 EUR</w:t>
            </w:r>
          </w:p>
        </w:tc>
      </w:tr>
      <w:tr>
        <w:tc>
          <w:tcPr>
            <w:tcW w:type="dxa" w:w="1949"/>
          </w:tcPr>
          <w:p>
            <w:r/>
            <w:r>
              <w:rPr>
                <w:sz w:val="18"/>
              </w:rPr>
              <w:t>N2 domaine infrastructure</w:t>
            </w:r>
          </w:p>
        </w:tc>
        <w:tc>
          <w:tcPr>
            <w:tcW w:type="dxa" w:w="1949"/>
          </w:tcPr>
          <w:p>
            <w:r/>
            <w:r>
              <w:rPr>
                <w:sz w:val="18"/>
              </w:rPr>
              <w:t>Systèmes, réseau, stockage</w:t>
            </w:r>
          </w:p>
        </w:tc>
        <w:tc>
          <w:tcPr>
            <w:tcW w:type="dxa" w:w="1949"/>
          </w:tcPr>
          <w:p>
            <w:r/>
            <w:r>
              <w:rPr>
                <w:sz w:val="18"/>
              </w:rPr>
              <w:t>15 minutes</w:t>
            </w:r>
          </w:p>
        </w:tc>
        <w:tc>
          <w:tcPr>
            <w:tcW w:type="dxa" w:w="1949"/>
          </w:tcPr>
          <w:p>
            <w:r/>
            <w:r>
              <w:rPr>
                <w:sz w:val="18"/>
              </w:rPr>
              <w:t>1 semaine sur 5</w:t>
            </w:r>
          </w:p>
        </w:tc>
        <w:tc>
          <w:tcPr>
            <w:tcW w:type="dxa" w:w="1949"/>
          </w:tcPr>
          <w:p>
            <w:r/>
            <w:r>
              <w:rPr>
                <w:sz w:val="18"/>
              </w:rPr>
              <w:t>310 EUR</w:t>
            </w:r>
          </w:p>
        </w:tc>
      </w:tr>
      <w:tr>
        <w:tc>
          <w:tcPr>
            <w:tcW w:type="dxa" w:w="1949"/>
          </w:tcPr>
          <w:p>
            <w:r/>
            <w:r>
              <w:rPr>
                <w:sz w:val="18"/>
              </w:rPr>
              <w:t>N2 domaine données</w:t>
            </w:r>
          </w:p>
        </w:tc>
        <w:tc>
          <w:tcPr>
            <w:tcW w:type="dxa" w:w="1949"/>
          </w:tcPr>
          <w:p>
            <w:r/>
            <w:r>
              <w:rPr>
                <w:sz w:val="18"/>
              </w:rPr>
              <w:t>Bases de données, flux</w:t>
            </w:r>
          </w:p>
        </w:tc>
        <w:tc>
          <w:tcPr>
            <w:tcW w:type="dxa" w:w="1949"/>
          </w:tcPr>
          <w:p>
            <w:r/>
            <w:r>
              <w:rPr>
                <w:sz w:val="18"/>
              </w:rPr>
              <w:t>15 minutes</w:t>
            </w:r>
          </w:p>
        </w:tc>
        <w:tc>
          <w:tcPr>
            <w:tcW w:type="dxa" w:w="1949"/>
          </w:tcPr>
          <w:p>
            <w:r/>
            <w:r>
              <w:rPr>
                <w:sz w:val="18"/>
              </w:rPr>
              <w:t>1 semaine sur 6</w:t>
            </w:r>
          </w:p>
        </w:tc>
        <w:tc>
          <w:tcPr>
            <w:tcW w:type="dxa" w:w="1949"/>
          </w:tcPr>
          <w:p>
            <w:r/>
            <w:r>
              <w:rPr>
                <w:sz w:val="18"/>
              </w:rPr>
              <w:t>310 EUR</w:t>
            </w:r>
          </w:p>
        </w:tc>
      </w:tr>
      <w:tr>
        <w:tc>
          <w:tcPr>
            <w:tcW w:type="dxa" w:w="1949"/>
          </w:tcPr>
          <w:p>
            <w:r/>
            <w:r>
              <w:rPr>
                <w:sz w:val="18"/>
              </w:rPr>
              <w:t>Coordination exploitation</w:t>
            </w:r>
          </w:p>
        </w:tc>
        <w:tc>
          <w:tcPr>
            <w:tcW w:type="dxa" w:w="1949"/>
          </w:tcPr>
          <w:p>
            <w:r/>
            <w:r>
              <w:rPr>
                <w:sz w:val="18"/>
              </w:rPr>
              <w:t>Pilotage, escalade, communication</w:t>
            </w:r>
          </w:p>
        </w:tc>
        <w:tc>
          <w:tcPr>
            <w:tcW w:type="dxa" w:w="1949"/>
          </w:tcPr>
          <w:p>
            <w:r/>
            <w:r>
              <w:rPr>
                <w:sz w:val="18"/>
              </w:rPr>
              <w:t>10 minutes</w:t>
            </w:r>
          </w:p>
        </w:tc>
        <w:tc>
          <w:tcPr>
            <w:tcW w:type="dxa" w:w="1949"/>
          </w:tcPr>
          <w:p>
            <w:r/>
            <w:r>
              <w:rPr>
                <w:sz w:val="18"/>
              </w:rPr>
              <w:t>1 semaine sur 4</w:t>
            </w:r>
          </w:p>
        </w:tc>
        <w:tc>
          <w:tcPr>
            <w:tcW w:type="dxa" w:w="1949"/>
          </w:tcPr>
          <w:p>
            <w:r/>
            <w:r>
              <w:rPr>
                <w:sz w:val="18"/>
              </w:rPr>
              <w:t>395 EUR</w:t>
            </w:r>
          </w:p>
        </w:tc>
      </w:tr>
      <w:tr>
        <w:tc>
          <w:tcPr>
            <w:tcW w:type="dxa" w:w="1949"/>
          </w:tcPr>
          <w:p>
            <w:r/>
            <w:r>
              <w:rPr>
                <w:sz w:val="18"/>
              </w:rPr>
              <w:t>N3 développement</w:t>
            </w:r>
          </w:p>
        </w:tc>
        <w:tc>
          <w:tcPr>
            <w:tcW w:type="dxa" w:w="1949"/>
          </w:tcPr>
          <w:p>
            <w:r/>
            <w:r>
              <w:rPr>
                <w:sz w:val="18"/>
              </w:rPr>
              <w:t>Sur incident P1 uniquement</w:t>
            </w:r>
          </w:p>
        </w:tc>
        <w:tc>
          <w:tcPr>
            <w:tcW w:type="dxa" w:w="1949"/>
          </w:tcPr>
          <w:p>
            <w:r/>
            <w:r>
              <w:rPr>
                <w:sz w:val="18"/>
              </w:rPr>
              <w:t>30 minutes</w:t>
            </w:r>
          </w:p>
        </w:tc>
        <w:tc>
          <w:tcPr>
            <w:tcW w:type="dxa" w:w="1949"/>
          </w:tcPr>
          <w:p>
            <w:r/>
            <w:r>
              <w:rPr>
                <w:sz w:val="18"/>
              </w:rPr>
              <w:t>1 semaine sur 8</w:t>
            </w:r>
          </w:p>
        </w:tc>
        <w:tc>
          <w:tcPr>
            <w:tcW w:type="dxa" w:w="1949"/>
          </w:tcPr>
          <w:p>
            <w:r/>
            <w:r>
              <w:rPr>
                <w:sz w:val="18"/>
              </w:rPr>
              <w:t>245 EUR</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planning d'astreinte est communiqué quinze jours à l'avance. Une modification à moins de quarante-huit heures requiert l'accord du collaborateur concerné.</w:t>
            </w:r>
          </w:p>
        </w:tc>
      </w:tr>
    </w:tbl>
    <w:p/>
    <w:p>
      <w:r>
        <w:br w:type="page"/>
      </w:r>
    </w:p>
    <w:p>
      <w:pPr>
        <w:pStyle w:val="Heading1"/>
      </w:pPr>
      <w:r>
        <w:rPr>
          <w:color w:val="8A2B06"/>
        </w:rPr>
        <w:t>10. Communication vers les clients et les parties prenantes</w:t>
      </w:r>
    </w:p>
    <w:p>
      <w:r>
        <w:rPr>
          <w:i/>
          <w:color w:val="555555"/>
        </w:rPr>
        <w:t>En situation d'incident, l'absence d'information est perçue plus durement que l'incident lui-même.</w:t>
      </w:r>
    </w:p>
    <w:p>
      <w:r>
        <w:t>La communication est un volet à part entière de la gestion des incidents et non une activité annexe. L'expérience établit qu'un client informé régulièrement d'un incident de quatre heures exprime une satisfaction supérieure à un client non informé d'un incident d'une heure. Le principe directeur est donc la communication précoce, régulière et honnête, y compris et surtout lorsque la cause n'est pas encore identifiée : « nous investiguons, nous ne connaissons pas encore la cause, prochain point dans trente minutes » constitue une communication pleinement satisfaisante.</w:t>
      </w:r>
    </w:p>
    <w:p>
      <w:r>
        <w:t>Les canaux sont différenciés selon l'audience. La page d'état publique est mise à jour dans les quinze minutes suivant la qualification d'un incident P1 et P2, et constitue la source de référence. Une notification par courriel est adressée aux contacts techniques déclarés des clients affectés. Les clients sous contrat premium bénéficient d'un appel de leur responsable de compte pour les incidents P1. En interne, un canal dédié par incident majeur permet aux équipes non impliquées de suivre la situation sans solliciter les intervenants, ce qui constitue l'une des mesures les plus efficaces de protection du temps d'investigation.</w:t>
      </w:r>
    </w:p>
    <w:p>
      <w:r>
        <w:t>Trois règles encadrent le contenu des messages. La première interdit toute estimation de délai de rétablissement non fondée : une estimation optimiste non tenue détruit davantage de confiance que l'absence d'estimation. La deuxième impose de décrire l'impact en termes fonctionnels compréhensibles par le destinataire plutôt qu'en termes techniques. La troisième interdit d'attribuer publiquement la responsabilité à un tiers, prestataire ou fournisseur, avant la conclusion de l'analyse : les mises en cause hâtives se révèlent fréquemment erronées et engagent la responsabilité de leur auteur.</w:t>
      </w:r>
    </w:p>
    <w:p>
      <w:pPr>
        <w:pStyle w:val="Heading2"/>
      </w:pPr>
      <w:r>
        <w:t>Trame type d'un message de situation</w:t>
      </w:r>
    </w:p>
    <w:p>
      <w:pPr>
        <w:pStyle w:val="ListBullet"/>
        <w:spacing w:after="60"/>
      </w:pPr>
      <w:r>
        <w:t>Ce qui est affecté, décrit en termes fonctionnels et non techniques.</w:t>
      </w:r>
    </w:p>
    <w:p>
      <w:pPr>
        <w:pStyle w:val="ListBullet"/>
        <w:spacing w:after="60"/>
      </w:pPr>
      <w:r>
        <w:t>Depuis quand, avec un horodatage précis et le fuseau horaire.</w:t>
      </w:r>
    </w:p>
    <w:p>
      <w:pPr>
        <w:pStyle w:val="ListBullet"/>
        <w:spacing w:after="60"/>
      </w:pPr>
      <w:r>
        <w:t>Qui est concerné : périmètre de clients, de services ou de fonctionnalités.</w:t>
      </w:r>
    </w:p>
    <w:p>
      <w:pPr>
        <w:pStyle w:val="ListBullet"/>
        <w:spacing w:after="60"/>
      </w:pPr>
      <w:r>
        <w:t>Ce qui est fait actuellement, sans détail technique inutile.</w:t>
      </w:r>
    </w:p>
    <w:p>
      <w:pPr>
        <w:pStyle w:val="ListBullet"/>
        <w:spacing w:after="60"/>
      </w:pPr>
      <w:r>
        <w:t>Contournement disponible le cas échéant, avec ses limites.</w:t>
      </w:r>
    </w:p>
    <w:p>
      <w:pPr>
        <w:pStyle w:val="ListBullet"/>
        <w:spacing w:after="60"/>
      </w:pPr>
      <w:r>
        <w:t>Heure du prochain point de situation, engagement à tenir impérativement.</w:t>
      </w:r>
    </w:p>
    <w:p>
      <w:pPr>
        <w:pStyle w:val="Heading2"/>
      </w:pPr>
      <w:r>
        <w:t>Matrice de communication par priorité</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Priorité</w:t>
            </w:r>
          </w:p>
        </w:tc>
        <w:tc>
          <w:tcPr>
            <w:tcW w:type="dxa" w:w="1949"/>
            <w:shd w:val="clear" w:color="auto" w:fill="8A2B06"/>
          </w:tcPr>
          <w:p>
            <w:r/>
            <w:r>
              <w:rPr>
                <w:b/>
                <w:color w:val="FFFFFF"/>
                <w:sz w:val="18"/>
              </w:rPr>
              <w:t>Page d'état</w:t>
            </w:r>
          </w:p>
        </w:tc>
        <w:tc>
          <w:tcPr>
            <w:tcW w:type="dxa" w:w="1949"/>
            <w:shd w:val="clear" w:color="auto" w:fill="8A2B06"/>
          </w:tcPr>
          <w:p>
            <w:r/>
            <w:r>
              <w:rPr>
                <w:b/>
                <w:color w:val="FFFFFF"/>
                <w:sz w:val="18"/>
              </w:rPr>
              <w:t>Notification client</w:t>
            </w:r>
          </w:p>
        </w:tc>
        <w:tc>
          <w:tcPr>
            <w:tcW w:type="dxa" w:w="1949"/>
            <w:shd w:val="clear" w:color="auto" w:fill="8A2B06"/>
          </w:tcPr>
          <w:p>
            <w:r/>
            <w:r>
              <w:rPr>
                <w:b/>
                <w:color w:val="FFFFFF"/>
                <w:sz w:val="18"/>
              </w:rPr>
              <w:t>Appel responsable de compte</w:t>
            </w:r>
          </w:p>
        </w:tc>
        <w:tc>
          <w:tcPr>
            <w:tcW w:type="dxa" w:w="1949"/>
            <w:shd w:val="clear" w:color="auto" w:fill="8A2B06"/>
          </w:tcPr>
          <w:p>
            <w:r/>
            <w:r>
              <w:rPr>
                <w:b/>
                <w:color w:val="FFFFFF"/>
                <w:sz w:val="18"/>
              </w:rPr>
              <w:t>Fréquence</w:t>
            </w:r>
          </w:p>
        </w:tc>
      </w:tr>
      <w:tr>
        <w:tc>
          <w:tcPr>
            <w:tcW w:type="dxa" w:w="1949"/>
          </w:tcPr>
          <w:p>
            <w:r/>
            <w:r>
              <w:rPr>
                <w:sz w:val="18"/>
              </w:rPr>
              <w:t>P1</w:t>
            </w:r>
          </w:p>
        </w:tc>
        <w:tc>
          <w:tcPr>
            <w:tcW w:type="dxa" w:w="1949"/>
          </w:tcPr>
          <w:p>
            <w:r/>
            <w:r>
              <w:rPr>
                <w:sz w:val="18"/>
              </w:rPr>
              <w:t>Sous 15 minutes</w:t>
            </w:r>
          </w:p>
        </w:tc>
        <w:tc>
          <w:tcPr>
            <w:tcW w:type="dxa" w:w="1949"/>
          </w:tcPr>
          <w:p>
            <w:r/>
            <w:r>
              <w:rPr>
                <w:sz w:val="18"/>
              </w:rPr>
              <w:t>Immédiate, tous clients affectés</w:t>
            </w:r>
          </w:p>
        </w:tc>
        <w:tc>
          <w:tcPr>
            <w:tcW w:type="dxa" w:w="1949"/>
          </w:tcPr>
          <w:p>
            <w:r/>
            <w:r>
              <w:rPr>
                <w:sz w:val="18"/>
              </w:rPr>
              <w:t>Clients premium</w:t>
            </w:r>
          </w:p>
        </w:tc>
        <w:tc>
          <w:tcPr>
            <w:tcW w:type="dxa" w:w="1949"/>
          </w:tcPr>
          <w:p>
            <w:r/>
            <w:r>
              <w:rPr>
                <w:sz w:val="18"/>
              </w:rPr>
              <w:t>Toutes les 30 minutes</w:t>
            </w:r>
          </w:p>
        </w:tc>
      </w:tr>
      <w:tr>
        <w:tc>
          <w:tcPr>
            <w:tcW w:type="dxa" w:w="1949"/>
          </w:tcPr>
          <w:p>
            <w:r/>
            <w:r>
              <w:rPr>
                <w:sz w:val="18"/>
              </w:rPr>
              <w:t>P2</w:t>
            </w:r>
          </w:p>
        </w:tc>
        <w:tc>
          <w:tcPr>
            <w:tcW w:type="dxa" w:w="1949"/>
          </w:tcPr>
          <w:p>
            <w:r/>
            <w:r>
              <w:rPr>
                <w:sz w:val="18"/>
              </w:rPr>
              <w:t>Sous 30 minutes</w:t>
            </w:r>
          </w:p>
        </w:tc>
        <w:tc>
          <w:tcPr>
            <w:tcW w:type="dxa" w:w="1949"/>
          </w:tcPr>
          <w:p>
            <w:r/>
            <w:r>
              <w:rPr>
                <w:sz w:val="18"/>
              </w:rPr>
              <w:t>Clients affectés</w:t>
            </w:r>
          </w:p>
        </w:tc>
        <w:tc>
          <w:tcPr>
            <w:tcW w:type="dxa" w:w="1949"/>
          </w:tcPr>
          <w:p>
            <w:r/>
            <w:r>
              <w:rPr>
                <w:sz w:val="18"/>
              </w:rPr>
              <w:t>Sur demande</w:t>
            </w:r>
          </w:p>
        </w:tc>
        <w:tc>
          <w:tcPr>
            <w:tcW w:type="dxa" w:w="1949"/>
          </w:tcPr>
          <w:p>
            <w:r/>
            <w:r>
              <w:rPr>
                <w:sz w:val="18"/>
              </w:rPr>
              <w:t>Toutes les 2 heures</w:t>
            </w:r>
          </w:p>
        </w:tc>
      </w:tr>
      <w:tr>
        <w:tc>
          <w:tcPr>
            <w:tcW w:type="dxa" w:w="1949"/>
          </w:tcPr>
          <w:p>
            <w:r/>
            <w:r>
              <w:rPr>
                <w:sz w:val="18"/>
              </w:rPr>
              <w:t>P3</w:t>
            </w:r>
          </w:p>
        </w:tc>
        <w:tc>
          <w:tcPr>
            <w:tcW w:type="dxa" w:w="1949"/>
          </w:tcPr>
          <w:p>
            <w:r/>
            <w:r>
              <w:rPr>
                <w:sz w:val="18"/>
              </w:rPr>
              <w:t>Non</w:t>
            </w:r>
          </w:p>
        </w:tc>
        <w:tc>
          <w:tcPr>
            <w:tcW w:type="dxa" w:w="1949"/>
          </w:tcPr>
          <w:p>
            <w:r/>
            <w:r>
              <w:rPr>
                <w:sz w:val="18"/>
              </w:rPr>
              <w:t>Demandeur uniquement</w:t>
            </w:r>
          </w:p>
        </w:tc>
        <w:tc>
          <w:tcPr>
            <w:tcW w:type="dxa" w:w="1949"/>
          </w:tcPr>
          <w:p>
            <w:r/>
            <w:r>
              <w:rPr>
                <w:sz w:val="18"/>
              </w:rPr>
              <w:t>Non</w:t>
            </w:r>
          </w:p>
        </w:tc>
        <w:tc>
          <w:tcPr>
            <w:tcW w:type="dxa" w:w="1949"/>
          </w:tcPr>
          <w:p>
            <w:r/>
            <w:r>
              <w:rPr>
                <w:sz w:val="18"/>
              </w:rPr>
              <w:t>Quotidienne</w:t>
            </w:r>
          </w:p>
        </w:tc>
      </w:tr>
      <w:tr>
        <w:tc>
          <w:tcPr>
            <w:tcW w:type="dxa" w:w="1949"/>
          </w:tcPr>
          <w:p>
            <w:r/>
            <w:r>
              <w:rPr>
                <w:sz w:val="18"/>
              </w:rPr>
              <w:t>P4</w:t>
            </w:r>
          </w:p>
        </w:tc>
        <w:tc>
          <w:tcPr>
            <w:tcW w:type="dxa" w:w="1949"/>
          </w:tcPr>
          <w:p>
            <w:r/>
            <w:r>
              <w:rPr>
                <w:sz w:val="18"/>
              </w:rPr>
              <w:t>Non</w:t>
            </w:r>
          </w:p>
        </w:tc>
        <w:tc>
          <w:tcPr>
            <w:tcW w:type="dxa" w:w="1949"/>
          </w:tcPr>
          <w:p>
            <w:r/>
            <w:r>
              <w:rPr>
                <w:sz w:val="18"/>
              </w:rPr>
              <w:t>Demandeur uniquement</w:t>
            </w:r>
          </w:p>
        </w:tc>
        <w:tc>
          <w:tcPr>
            <w:tcW w:type="dxa" w:w="1949"/>
          </w:tcPr>
          <w:p>
            <w:r/>
            <w:r>
              <w:rPr>
                <w:sz w:val="18"/>
              </w:rPr>
              <w:t>Non</w:t>
            </w:r>
          </w:p>
        </w:tc>
        <w:tc>
          <w:tcPr>
            <w:tcW w:type="dxa" w:w="1949"/>
          </w:tcPr>
          <w:p>
            <w:r/>
            <w:r>
              <w:rPr>
                <w:sz w:val="18"/>
              </w:rPr>
              <w:t>À la résolution</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 prochain point de situation annoncé doit être tenu même si rien n'a progressé. Un point manqué est interprété comme une perte de contrôle de la situation.</w:t>
            </w:r>
          </w:p>
        </w:tc>
      </w:tr>
    </w:tbl>
    <w:p/>
    <w:p>
      <w:r>
        <w:br w:type="page"/>
      </w:r>
    </w:p>
    <w:p>
      <w:pPr>
        <w:pStyle w:val="Heading1"/>
      </w:pPr>
      <w:r>
        <w:rPr>
          <w:color w:val="8A2B06"/>
        </w:rPr>
        <w:t>11. Retour d'expérience, post-mortem et gestion des problèmes</w:t>
      </w:r>
    </w:p>
    <w:p>
      <w:r>
        <w:rPr>
          <w:i/>
          <w:color w:val="555555"/>
        </w:rPr>
        <w:t>Un incident non analysé se reproduira : le retour d'expérience est la seule activité qui réduit le volume futur d'incidents.</w:t>
      </w:r>
    </w:p>
    <w:p>
      <w:r>
        <w:t>Tout incident de priorité P1, ainsi que tout incident P2 récurrent ou particulièrement instructif, donne lieu à une analyse post-incident conduite dans les cinq jours ouvrés suivant sa clôture. Ce délai est un compromis : trop court, il ne laisse pas le recul nécessaire ; trop long, il laisse la mémoire se dégrader et les priorités se déplacer. L'analyse est animée par une personne non impliquée dans le traitement, afin de garantir la distance nécessaire et d'éviter la reconstitution défensive.</w:t>
      </w:r>
    </w:p>
    <w:p>
      <w:r>
        <w:t>Le principe de non-culpabilisation constitue le fondement méthodologique de l'exercice. Il ne s'agit pas d'une posture de bienveillance mais d'une exigence d'efficacité : dans un cadre où l'erreur est sanctionnée, les intervenants omettent les éléments susceptibles de les mettre en cause, l'analyse repose sur des faits incomplets et les conclusions sont fausses. L'erreur humaine n'est jamais retenue comme cause racine ; elle constitue le point de départ de l'investigation, dont la question est de comprendre pourquoi le système a permis que cette erreur produise un incident et pourquoi elle n'a pas été détectée plus tôt.</w:t>
      </w:r>
    </w:p>
    <w:p>
      <w:r>
        <w:t>L'analyse produit un compte rendu structuré comportant la chronologie détaillée, l'impact mesuré, l'analyse des causes selon la méthode des cinq pourquoi ou l'arbre des causes, les facteurs contributifs, ce qui a bien fonctionné et qu'il convient de préserver, et un plan d'action. Ce plan est limité à cinq actions maximum, chacune assortie d'un responsable nommément désigné et d'une échéance. Le suivi des actions est assuré en revue mensuelle et leur taux de réalisation constitue un indicateur de pilotage à part entière : un plan d'action non réalisé transforme le retour d'expérience en exercice formel sans effet.</w:t>
      </w:r>
    </w:p>
    <w:p>
      <w:pPr>
        <w:pStyle w:val="Heading2"/>
      </w:pPr>
      <w:r>
        <w:t>Trame d'analyse post-incident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8A2B06"/>
          </w:tcPr>
          <w:p>
            <w:r/>
            <w:r>
              <w:rPr>
                <w:b/>
                <w:color w:val="FFFFFF"/>
                <w:sz w:val="18"/>
              </w:rPr>
              <w:t>Section</w:t>
            </w:r>
          </w:p>
        </w:tc>
        <w:tc>
          <w:tcPr>
            <w:tcW w:type="dxa" w:w="3249"/>
            <w:shd w:val="clear" w:color="auto" w:fill="8A2B06"/>
          </w:tcPr>
          <w:p>
            <w:r/>
            <w:r>
              <w:rPr>
                <w:b/>
                <w:color w:val="FFFFFF"/>
                <w:sz w:val="18"/>
              </w:rPr>
              <w:t>Contenu attendu</w:t>
            </w:r>
          </w:p>
        </w:tc>
        <w:tc>
          <w:tcPr>
            <w:tcW w:type="dxa" w:w="3249"/>
            <w:shd w:val="clear" w:color="auto" w:fill="8A2B06"/>
          </w:tcPr>
          <w:p>
            <w:r/>
            <w:r>
              <w:rPr>
                <w:b/>
                <w:color w:val="FFFFFF"/>
                <w:sz w:val="18"/>
              </w:rPr>
              <w:t>Source</w:t>
            </w:r>
          </w:p>
        </w:tc>
      </w:tr>
      <w:tr>
        <w:tc>
          <w:tcPr>
            <w:tcW w:type="dxa" w:w="3249"/>
          </w:tcPr>
          <w:p>
            <w:r/>
            <w:r>
              <w:rPr>
                <w:sz w:val="18"/>
              </w:rPr>
              <w:t>Résumé</w:t>
            </w:r>
          </w:p>
        </w:tc>
        <w:tc>
          <w:tcPr>
            <w:tcW w:type="dxa" w:w="3249"/>
          </w:tcPr>
          <w:p>
            <w:r/>
            <w:r>
              <w:rPr>
                <w:sz w:val="18"/>
              </w:rPr>
              <w:t>Cinq lignes maximum, compréhensibles par un non-technicien</w:t>
            </w:r>
          </w:p>
        </w:tc>
        <w:tc>
          <w:tcPr>
            <w:tcW w:type="dxa" w:w="3249"/>
          </w:tcPr>
          <w:p>
            <w:r/>
            <w:r>
              <w:rPr>
                <w:sz w:val="18"/>
              </w:rPr>
              <w:t>Rédacteur</w:t>
            </w:r>
          </w:p>
        </w:tc>
      </w:tr>
      <w:tr>
        <w:tc>
          <w:tcPr>
            <w:tcW w:type="dxa" w:w="3249"/>
          </w:tcPr>
          <w:p>
            <w:r/>
            <w:r>
              <w:rPr>
                <w:sz w:val="18"/>
              </w:rPr>
              <w:t>Impact mesuré</w:t>
            </w:r>
          </w:p>
        </w:tc>
        <w:tc>
          <w:tcPr>
            <w:tcW w:type="dxa" w:w="3249"/>
          </w:tcPr>
          <w:p>
            <w:r/>
            <w:r>
              <w:rPr>
                <w:sz w:val="18"/>
              </w:rPr>
              <w:t>Durée, clients affectés, transactions perdues, coût estimé</w:t>
            </w:r>
          </w:p>
        </w:tc>
        <w:tc>
          <w:tcPr>
            <w:tcW w:type="dxa" w:w="3249"/>
          </w:tcPr>
          <w:p>
            <w:r/>
            <w:r>
              <w:rPr>
                <w:sz w:val="18"/>
              </w:rPr>
              <w:t>Supervision et métier</w:t>
            </w:r>
          </w:p>
        </w:tc>
      </w:tr>
      <w:tr>
        <w:tc>
          <w:tcPr>
            <w:tcW w:type="dxa" w:w="3249"/>
          </w:tcPr>
          <w:p>
            <w:r/>
            <w:r>
              <w:rPr>
                <w:sz w:val="18"/>
              </w:rPr>
              <w:t>Chronologie</w:t>
            </w:r>
          </w:p>
        </w:tc>
        <w:tc>
          <w:tcPr>
            <w:tcW w:type="dxa" w:w="3249"/>
          </w:tcPr>
          <w:p>
            <w:r/>
            <w:r>
              <w:rPr>
                <w:sz w:val="18"/>
              </w:rPr>
              <w:t>Faits horodatés, de la première occurrence à la clôture</w:t>
            </w:r>
          </w:p>
        </w:tc>
        <w:tc>
          <w:tcPr>
            <w:tcW w:type="dxa" w:w="3249"/>
          </w:tcPr>
          <w:p>
            <w:r/>
            <w:r>
              <w:rPr>
                <w:sz w:val="18"/>
              </w:rPr>
              <w:t>Scribe de la cellule</w:t>
            </w:r>
          </w:p>
        </w:tc>
      </w:tr>
      <w:tr>
        <w:tc>
          <w:tcPr>
            <w:tcW w:type="dxa" w:w="3249"/>
          </w:tcPr>
          <w:p>
            <w:r/>
            <w:r>
              <w:rPr>
                <w:sz w:val="18"/>
              </w:rPr>
              <w:t>Détection</w:t>
            </w:r>
          </w:p>
        </w:tc>
        <w:tc>
          <w:tcPr>
            <w:tcW w:type="dxa" w:w="3249"/>
          </w:tcPr>
          <w:p>
            <w:r/>
            <w:r>
              <w:rPr>
                <w:sz w:val="18"/>
              </w:rPr>
              <w:t>Comment l'incident a été détecté et en combien de temps</w:t>
            </w:r>
          </w:p>
        </w:tc>
        <w:tc>
          <w:tcPr>
            <w:tcW w:type="dxa" w:w="3249"/>
          </w:tcPr>
          <w:p>
            <w:r/>
            <w:r>
              <w:rPr>
                <w:sz w:val="18"/>
              </w:rPr>
              <w:t>Supervision</w:t>
            </w:r>
          </w:p>
        </w:tc>
      </w:tr>
      <w:tr>
        <w:tc>
          <w:tcPr>
            <w:tcW w:type="dxa" w:w="3249"/>
          </w:tcPr>
          <w:p>
            <w:r/>
            <w:r>
              <w:rPr>
                <w:sz w:val="18"/>
              </w:rPr>
              <w:t>Analyse des causes</w:t>
            </w:r>
          </w:p>
        </w:tc>
        <w:tc>
          <w:tcPr>
            <w:tcW w:type="dxa" w:w="3249"/>
          </w:tcPr>
          <w:p>
            <w:r/>
            <w:r>
              <w:rPr>
                <w:sz w:val="18"/>
              </w:rPr>
              <w:t>Cause racine et facteurs contributifs</w:t>
            </w:r>
          </w:p>
        </w:tc>
        <w:tc>
          <w:tcPr>
            <w:tcW w:type="dxa" w:w="3249"/>
          </w:tcPr>
          <w:p>
            <w:r/>
            <w:r>
              <w:rPr>
                <w:sz w:val="18"/>
              </w:rPr>
              <w:t>Investigation collective</w:t>
            </w:r>
          </w:p>
        </w:tc>
      </w:tr>
      <w:tr>
        <w:tc>
          <w:tcPr>
            <w:tcW w:type="dxa" w:w="3249"/>
          </w:tcPr>
          <w:p>
            <w:r/>
            <w:r>
              <w:rPr>
                <w:sz w:val="18"/>
              </w:rPr>
              <w:t>Ce qui a bien fonctionné</w:t>
            </w:r>
          </w:p>
        </w:tc>
        <w:tc>
          <w:tcPr>
            <w:tcW w:type="dxa" w:w="3249"/>
          </w:tcPr>
          <w:p>
            <w:r/>
            <w:r>
              <w:rPr>
                <w:sz w:val="18"/>
              </w:rPr>
              <w:t>Éléments à préserver et à généraliser</w:t>
            </w:r>
          </w:p>
        </w:tc>
        <w:tc>
          <w:tcPr>
            <w:tcW w:type="dxa" w:w="3249"/>
          </w:tcPr>
          <w:p>
            <w:r/>
            <w:r>
              <w:rPr>
                <w:sz w:val="18"/>
              </w:rPr>
              <w:t>Participants</w:t>
            </w:r>
          </w:p>
        </w:tc>
      </w:tr>
      <w:tr>
        <w:tc>
          <w:tcPr>
            <w:tcW w:type="dxa" w:w="3249"/>
          </w:tcPr>
          <w:p>
            <w:r/>
            <w:r>
              <w:rPr>
                <w:sz w:val="18"/>
              </w:rPr>
              <w:t>Plan d'action</w:t>
            </w:r>
          </w:p>
        </w:tc>
        <w:tc>
          <w:tcPr>
            <w:tcW w:type="dxa" w:w="3249"/>
          </w:tcPr>
          <w:p>
            <w:r/>
            <w:r>
              <w:rPr>
                <w:sz w:val="18"/>
              </w:rPr>
              <w:t>Cinq actions maximum, responsable et échéance</w:t>
            </w:r>
          </w:p>
        </w:tc>
        <w:tc>
          <w:tcPr>
            <w:tcW w:type="dxa" w:w="3249"/>
          </w:tcPr>
          <w:p>
            <w:r/>
            <w:r>
              <w:rPr>
                <w:sz w:val="18"/>
              </w:rPr>
              <w:t>Animateur</w:t>
            </w:r>
          </w:p>
        </w:tc>
      </w:tr>
    </w:tbl>
    <w:p/>
    <w:tbl>
      <w:tblPr>
        <w:tblStyle w:val="TableGrid"/>
        <w:tblW w:type="auto" w:w="0"/>
        <w:tblLook w:firstColumn="1" w:firstRow="1" w:lastColumn="0" w:lastRow="0" w:noHBand="0" w:noVBand="1" w:val="04A0"/>
      </w:tblPr>
      <w:tblGrid>
        <w:gridCol w:w="9746"/>
      </w:tblGrid>
      <w:tr>
        <w:tc>
          <w:tcPr>
            <w:tcW w:type="dxa" w:w="9746"/>
            <w:shd w:val="clear" w:color="auto" w:fill="F7F3E8"/>
          </w:tcPr>
          <w:p>
            <w:r/>
            <w:r>
              <w:rPr>
                <w:b/>
                <w:sz w:val="19"/>
              </w:rPr>
              <w:t xml:space="preserve">Point d'attention. </w:t>
            </w:r>
            <w:r>
              <w:rPr>
                <w:i/>
                <w:sz w:val="19"/>
              </w:rPr>
              <w:t>L'erreur humaine n'est jamais une cause racine. La question pertinente est de savoir pourquoi le système a permis à cette erreur de produire un incident et pourquoi elle n'a pas été détectée plus tôt.</w:t>
            </w:r>
          </w:p>
        </w:tc>
      </w:tr>
    </w:tbl>
    <w:p/>
    <w:p>
      <w:r>
        <w:br w:type="page"/>
      </w:r>
    </w:p>
    <w:p>
      <w:pPr>
        <w:pStyle w:val="Heading1"/>
      </w:pPr>
      <w:r>
        <w:rPr>
          <w:color w:val="8A2B06"/>
        </w:rPr>
        <w:t>12. Outillage, base de connaissance et indicateurs de performance</w:t>
      </w:r>
    </w:p>
    <w:p>
      <w:r>
        <w:rPr>
          <w:i/>
          <w:color w:val="555555"/>
        </w:rPr>
        <w:t>L'automatisation des tâches répétitives libère du temps d'expertise pour les situations qui en requièrent réellement.</w:t>
      </w:r>
    </w:p>
    <w:p>
      <w:r>
        <w:t>L'outillage du dispositif repose sur quatre briques intégrées. L'outil de gestion des tickets assure l'enregistrement, le suivi du cycle de vie, l'application automatique des seuils d'escalade et le calcul des indicateurs de respect des engagements. La plateforme de supervision détecte les anomalies et ouvre automatiquement les tickets sur seuil, avec un objectif de détection avant signalement client fixé à 80 %, atteint à 74 % sur le dernier trimestre. L'outil de gestion des astreintes gère les plannings, les rotations et les chaînes d'appel. La base de connaissance centralise les procédures de résolution.</w:t>
      </w:r>
    </w:p>
    <w:p>
      <w:r>
        <w:t>La qualité de la base de connaissance conditionne directement le taux de résolution en niveau 1. Chaque incident résolu par un niveau supérieur doit donner lieu, lorsque le cas est susceptible de se reproduire, à la rédaction ou à la mise à jour d'un article décrivant le symptôme, le diagnostic différentiel et la procédure de résolution pas à pas. Cette obligation est intégrée aux critères de clôture des tickets de niveau 2 et fait l'objet d'un contrôle hebdomadaire par sondage. Les articles non consultés depuis douze mois sont revus et archivés le cas échéant, une base pléthorique et obsolète étant aussi peu utile qu'une base vide.</w:t>
      </w:r>
    </w:p>
    <w:p>
      <w:r>
        <w:t>Le pilotage s'appuie sur une revue mensuelle réunissant les responsables des trois niveaux. Y sont examinés le volume et la répartition des incidents, le respect des engagements, les incidents récurrents, l'avancement des plans d'action issus des retours d'expérience et la charge des équipes. La revue produit un nombre limité de décisions, portant prioritairement sur l'élimination des causes récurrentes plutôt que sur l'optimisation marginale du traitement. Le principe directeur est constant : le meilleur incident est celui qui ne survient pas, et le deuxième meilleur est celui qui se résout sans intervention humaine.</w:t>
      </w:r>
    </w:p>
    <w:p>
      <w:pPr>
        <w:pStyle w:val="Heading2"/>
      </w:pPr>
      <w:r>
        <w:t>Chantiers d'amélioration engagés</w:t>
      </w:r>
    </w:p>
    <w:p>
      <w:pPr>
        <w:pStyle w:val="ListBullet"/>
        <w:spacing w:after="60"/>
      </w:pPr>
      <w:r>
        <w:t>Automatisation du redémarrage des services sur détection d'anomalie récurrente identifiée.</w:t>
      </w:r>
    </w:p>
    <w:p>
      <w:pPr>
        <w:pStyle w:val="ListBullet"/>
        <w:spacing w:after="60"/>
      </w:pPr>
      <w:r>
        <w:t>Enrichissement de la base de connaissance sur les dix incidents les plus fréquents.</w:t>
      </w:r>
    </w:p>
    <w:p>
      <w:pPr>
        <w:pStyle w:val="ListBullet"/>
        <w:spacing w:after="60"/>
      </w:pPr>
      <w:r>
        <w:t>Déploiement de la corrélation automatique entre alertes de supervision et calendrier des changements.</w:t>
      </w:r>
    </w:p>
    <w:p>
      <w:pPr>
        <w:pStyle w:val="ListBullet"/>
        <w:spacing w:after="60"/>
      </w:pPr>
      <w:r>
        <w:t>Formation croisée des techniciens N1 sur deux domaines techniques supplémentaires.</w:t>
      </w:r>
    </w:p>
    <w:p>
      <w:pPr>
        <w:pStyle w:val="ListBullet"/>
        <w:spacing w:after="60"/>
      </w:pPr>
      <w:r>
        <w:t>Revue de la couverture de supervision sur les services récemment mis en production.</w:t>
      </w:r>
    </w:p>
    <w:p>
      <w:pPr>
        <w:pStyle w:val="ListBullet"/>
        <w:spacing w:after="60"/>
      </w:pPr>
      <w:r>
        <w:t>Mise en place d'exercices de crise trimestriels simulant un incident majeur.</w:t>
      </w:r>
    </w:p>
    <w:p>
      <w:pPr>
        <w:pStyle w:val="Heading2"/>
      </w:pPr>
      <w:r>
        <w:t>Indicateurs de performance du dispositif</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8A2B06"/>
          </w:tcPr>
          <w:p>
            <w:r/>
            <w:r>
              <w:rPr>
                <w:b/>
                <w:color w:val="FFFFFF"/>
                <w:sz w:val="18"/>
              </w:rPr>
              <w:t>Indicateur</w:t>
            </w:r>
          </w:p>
        </w:tc>
        <w:tc>
          <w:tcPr>
            <w:tcW w:type="dxa" w:w="1949"/>
            <w:shd w:val="clear" w:color="auto" w:fill="8A2B06"/>
          </w:tcPr>
          <w:p>
            <w:r/>
            <w:r>
              <w:rPr>
                <w:b/>
                <w:color w:val="FFFFFF"/>
                <w:sz w:val="18"/>
              </w:rPr>
              <w:t>Cible</w:t>
            </w:r>
          </w:p>
        </w:tc>
        <w:tc>
          <w:tcPr>
            <w:tcW w:type="dxa" w:w="1949"/>
            <w:shd w:val="clear" w:color="auto" w:fill="8A2B06"/>
          </w:tcPr>
          <w:p>
            <w:r/>
            <w:r>
              <w:rPr>
                <w:b/>
                <w:color w:val="FFFFFF"/>
                <w:sz w:val="18"/>
              </w:rPr>
              <w:t>T1 2026</w:t>
            </w:r>
          </w:p>
        </w:tc>
        <w:tc>
          <w:tcPr>
            <w:tcW w:type="dxa" w:w="1949"/>
            <w:shd w:val="clear" w:color="auto" w:fill="8A2B06"/>
          </w:tcPr>
          <w:p>
            <w:r/>
            <w:r>
              <w:rPr>
                <w:b/>
                <w:color w:val="FFFFFF"/>
                <w:sz w:val="18"/>
              </w:rPr>
              <w:t>T2 2026</w:t>
            </w:r>
          </w:p>
        </w:tc>
        <w:tc>
          <w:tcPr>
            <w:tcW w:type="dxa" w:w="1949"/>
            <w:shd w:val="clear" w:color="auto" w:fill="8A2B06"/>
          </w:tcPr>
          <w:p>
            <w:r/>
            <w:r>
              <w:rPr>
                <w:b/>
                <w:color w:val="FFFFFF"/>
                <w:sz w:val="18"/>
              </w:rPr>
              <w:t>Tendance</w:t>
            </w:r>
          </w:p>
        </w:tc>
      </w:tr>
      <w:tr>
        <w:tc>
          <w:tcPr>
            <w:tcW w:type="dxa" w:w="1949"/>
          </w:tcPr>
          <w:p>
            <w:r/>
            <w:r>
              <w:rPr>
                <w:sz w:val="18"/>
              </w:rPr>
              <w:t>Volume mensuel d'incidents</w:t>
            </w:r>
          </w:p>
        </w:tc>
        <w:tc>
          <w:tcPr>
            <w:tcW w:type="dxa" w:w="1949"/>
          </w:tcPr>
          <w:p>
            <w:r/>
            <w:r>
              <w:rPr>
                <w:sz w:val="18"/>
              </w:rPr>
              <w:t>—</w:t>
            </w:r>
          </w:p>
        </w:tc>
        <w:tc>
          <w:tcPr>
            <w:tcW w:type="dxa" w:w="1949"/>
          </w:tcPr>
          <w:p>
            <w:r/>
            <w:r>
              <w:rPr>
                <w:sz w:val="18"/>
              </w:rPr>
              <w:t>1 284</w:t>
            </w:r>
          </w:p>
        </w:tc>
        <w:tc>
          <w:tcPr>
            <w:tcW w:type="dxa" w:w="1949"/>
          </w:tcPr>
          <w:p>
            <w:r/>
            <w:r>
              <w:rPr>
                <w:sz w:val="18"/>
              </w:rPr>
              <w:t>1 196</w:t>
            </w:r>
          </w:p>
        </w:tc>
        <w:tc>
          <w:tcPr>
            <w:tcW w:type="dxa" w:w="1949"/>
          </w:tcPr>
          <w:p>
            <w:r/>
            <w:r>
              <w:rPr>
                <w:sz w:val="18"/>
              </w:rPr>
              <w:t>En baisse</w:t>
            </w:r>
          </w:p>
        </w:tc>
      </w:tr>
      <w:tr>
        <w:tc>
          <w:tcPr>
            <w:tcW w:type="dxa" w:w="1949"/>
          </w:tcPr>
          <w:p>
            <w:r/>
            <w:r>
              <w:rPr>
                <w:sz w:val="18"/>
              </w:rPr>
              <w:t>Part des P1 et P2</w:t>
            </w:r>
          </w:p>
        </w:tc>
        <w:tc>
          <w:tcPr>
            <w:tcW w:type="dxa" w:w="1949"/>
          </w:tcPr>
          <w:p>
            <w:r/>
            <w:r>
              <w:rPr>
                <w:sz w:val="18"/>
              </w:rPr>
              <w:t>&lt; 8 %</w:t>
            </w:r>
          </w:p>
        </w:tc>
        <w:tc>
          <w:tcPr>
            <w:tcW w:type="dxa" w:w="1949"/>
          </w:tcPr>
          <w:p>
            <w:r/>
            <w:r>
              <w:rPr>
                <w:sz w:val="18"/>
              </w:rPr>
              <w:t>9,4 %</w:t>
            </w:r>
          </w:p>
        </w:tc>
        <w:tc>
          <w:tcPr>
            <w:tcW w:type="dxa" w:w="1949"/>
          </w:tcPr>
          <w:p>
            <w:r/>
            <w:r>
              <w:rPr>
                <w:sz w:val="18"/>
              </w:rPr>
              <w:t>7,8 %</w:t>
            </w:r>
          </w:p>
        </w:tc>
        <w:tc>
          <w:tcPr>
            <w:tcW w:type="dxa" w:w="1949"/>
          </w:tcPr>
          <w:p>
            <w:r/>
            <w:r>
              <w:rPr>
                <w:sz w:val="18"/>
              </w:rPr>
              <w:t>En baisse</w:t>
            </w:r>
          </w:p>
        </w:tc>
      </w:tr>
      <w:tr>
        <w:tc>
          <w:tcPr>
            <w:tcW w:type="dxa" w:w="1949"/>
          </w:tcPr>
          <w:p>
            <w:r/>
            <w:r>
              <w:rPr>
                <w:sz w:val="18"/>
              </w:rPr>
              <w:t>Taux de résolution en N1</w:t>
            </w:r>
          </w:p>
        </w:tc>
        <w:tc>
          <w:tcPr>
            <w:tcW w:type="dxa" w:w="1949"/>
          </w:tcPr>
          <w:p>
            <w:r/>
            <w:r>
              <w:rPr>
                <w:sz w:val="18"/>
              </w:rPr>
              <w:t>&gt; 65 %</w:t>
            </w:r>
          </w:p>
        </w:tc>
        <w:tc>
          <w:tcPr>
            <w:tcW w:type="dxa" w:w="1949"/>
          </w:tcPr>
          <w:p>
            <w:r/>
            <w:r>
              <w:rPr>
                <w:sz w:val="18"/>
              </w:rPr>
              <w:t>58 %</w:t>
            </w:r>
          </w:p>
        </w:tc>
        <w:tc>
          <w:tcPr>
            <w:tcW w:type="dxa" w:w="1949"/>
          </w:tcPr>
          <w:p>
            <w:r/>
            <w:r>
              <w:rPr>
                <w:sz w:val="18"/>
              </w:rPr>
              <w:t>61 %</w:t>
            </w:r>
          </w:p>
        </w:tc>
        <w:tc>
          <w:tcPr>
            <w:tcW w:type="dxa" w:w="1949"/>
          </w:tcPr>
          <w:p>
            <w:r/>
            <w:r>
              <w:rPr>
                <w:sz w:val="18"/>
              </w:rPr>
              <w:t>En hausse</w:t>
            </w:r>
          </w:p>
        </w:tc>
      </w:tr>
      <w:tr>
        <w:tc>
          <w:tcPr>
            <w:tcW w:type="dxa" w:w="1949"/>
          </w:tcPr>
          <w:p>
            <w:r/>
            <w:r>
              <w:rPr>
                <w:sz w:val="18"/>
              </w:rPr>
              <w:t>Détection avant signalement client</w:t>
            </w:r>
          </w:p>
        </w:tc>
        <w:tc>
          <w:tcPr>
            <w:tcW w:type="dxa" w:w="1949"/>
          </w:tcPr>
          <w:p>
            <w:r/>
            <w:r>
              <w:rPr>
                <w:sz w:val="18"/>
              </w:rPr>
              <w:t>&gt; 80 %</w:t>
            </w:r>
          </w:p>
        </w:tc>
        <w:tc>
          <w:tcPr>
            <w:tcW w:type="dxa" w:w="1949"/>
          </w:tcPr>
          <w:p>
            <w:r/>
            <w:r>
              <w:rPr>
                <w:sz w:val="18"/>
              </w:rPr>
              <w:t>71 %</w:t>
            </w:r>
          </w:p>
        </w:tc>
        <w:tc>
          <w:tcPr>
            <w:tcW w:type="dxa" w:w="1949"/>
          </w:tcPr>
          <w:p>
            <w:r/>
            <w:r>
              <w:rPr>
                <w:sz w:val="18"/>
              </w:rPr>
              <w:t>74 %</w:t>
            </w:r>
          </w:p>
        </w:tc>
        <w:tc>
          <w:tcPr>
            <w:tcW w:type="dxa" w:w="1949"/>
          </w:tcPr>
          <w:p>
            <w:r/>
            <w:r>
              <w:rPr>
                <w:sz w:val="18"/>
              </w:rPr>
              <w:t>En hausse</w:t>
            </w:r>
          </w:p>
        </w:tc>
      </w:tr>
      <w:tr>
        <w:tc>
          <w:tcPr>
            <w:tcW w:type="dxa" w:w="1949"/>
          </w:tcPr>
          <w:p>
            <w:r/>
            <w:r>
              <w:rPr>
                <w:sz w:val="18"/>
              </w:rPr>
              <w:t>Délai médian de rétablissement P1</w:t>
            </w:r>
          </w:p>
        </w:tc>
        <w:tc>
          <w:tcPr>
            <w:tcW w:type="dxa" w:w="1949"/>
          </w:tcPr>
          <w:p>
            <w:r/>
            <w:r>
              <w:rPr>
                <w:sz w:val="18"/>
              </w:rPr>
              <w:t>&lt; 2 heures</w:t>
            </w:r>
          </w:p>
        </w:tc>
        <w:tc>
          <w:tcPr>
            <w:tcW w:type="dxa" w:w="1949"/>
          </w:tcPr>
          <w:p>
            <w:r/>
            <w:r>
              <w:rPr>
                <w:sz w:val="18"/>
              </w:rPr>
              <w:t>2 h 48</w:t>
            </w:r>
          </w:p>
        </w:tc>
        <w:tc>
          <w:tcPr>
            <w:tcW w:type="dxa" w:w="1949"/>
          </w:tcPr>
          <w:p>
            <w:r/>
            <w:r>
              <w:rPr>
                <w:sz w:val="18"/>
              </w:rPr>
              <w:t>2 h 11</w:t>
            </w:r>
          </w:p>
        </w:tc>
        <w:tc>
          <w:tcPr>
            <w:tcW w:type="dxa" w:w="1949"/>
          </w:tcPr>
          <w:p>
            <w:r/>
            <w:r>
              <w:rPr>
                <w:sz w:val="18"/>
              </w:rPr>
              <w:t>En baisse</w:t>
            </w:r>
          </w:p>
        </w:tc>
      </w:tr>
      <w:tr>
        <w:tc>
          <w:tcPr>
            <w:tcW w:type="dxa" w:w="1949"/>
          </w:tcPr>
          <w:p>
            <w:r/>
            <w:r>
              <w:rPr>
                <w:sz w:val="18"/>
              </w:rPr>
              <w:t>Respect des engagements P1</w:t>
            </w:r>
          </w:p>
        </w:tc>
        <w:tc>
          <w:tcPr>
            <w:tcW w:type="dxa" w:w="1949"/>
          </w:tcPr>
          <w:p>
            <w:r/>
            <w:r>
              <w:rPr>
                <w:sz w:val="18"/>
              </w:rPr>
              <w:t>&gt; 95 %</w:t>
            </w:r>
          </w:p>
        </w:tc>
        <w:tc>
          <w:tcPr>
            <w:tcW w:type="dxa" w:w="1949"/>
          </w:tcPr>
          <w:p>
            <w:r/>
            <w:r>
              <w:rPr>
                <w:sz w:val="18"/>
              </w:rPr>
              <w:t>93,1 %</w:t>
            </w:r>
          </w:p>
        </w:tc>
        <w:tc>
          <w:tcPr>
            <w:tcW w:type="dxa" w:w="1949"/>
          </w:tcPr>
          <w:p>
            <w:r/>
            <w:r>
              <w:rPr>
                <w:sz w:val="18"/>
              </w:rPr>
              <w:t>96,4 %</w:t>
            </w:r>
          </w:p>
        </w:tc>
        <w:tc>
          <w:tcPr>
            <w:tcW w:type="dxa" w:w="1949"/>
          </w:tcPr>
          <w:p>
            <w:r/>
            <w:r>
              <w:rPr>
                <w:sz w:val="18"/>
              </w:rPr>
              <w:t>En hausse</w:t>
            </w:r>
          </w:p>
        </w:tc>
      </w:tr>
      <w:tr>
        <w:tc>
          <w:tcPr>
            <w:tcW w:type="dxa" w:w="1949"/>
          </w:tcPr>
          <w:p>
            <w:r/>
            <w:r>
              <w:rPr>
                <w:sz w:val="18"/>
              </w:rPr>
              <w:t>Incidents récurrents (plus de 3 occurrences)</w:t>
            </w:r>
          </w:p>
        </w:tc>
        <w:tc>
          <w:tcPr>
            <w:tcW w:type="dxa" w:w="1949"/>
          </w:tcPr>
          <w:p>
            <w:r/>
            <w:r>
              <w:rPr>
                <w:sz w:val="18"/>
              </w:rPr>
              <w:t>&lt; 10</w:t>
            </w:r>
          </w:p>
        </w:tc>
        <w:tc>
          <w:tcPr>
            <w:tcW w:type="dxa" w:w="1949"/>
          </w:tcPr>
          <w:p>
            <w:r/>
            <w:r>
              <w:rPr>
                <w:sz w:val="18"/>
              </w:rPr>
              <w:t>17</w:t>
            </w:r>
          </w:p>
        </w:tc>
        <w:tc>
          <w:tcPr>
            <w:tcW w:type="dxa" w:w="1949"/>
          </w:tcPr>
          <w:p>
            <w:r/>
            <w:r>
              <w:rPr>
                <w:sz w:val="18"/>
              </w:rPr>
              <w:t>12</w:t>
            </w:r>
          </w:p>
        </w:tc>
        <w:tc>
          <w:tcPr>
            <w:tcW w:type="dxa" w:w="1949"/>
          </w:tcPr>
          <w:p>
            <w:r/>
            <w:r>
              <w:rPr>
                <w:sz w:val="18"/>
              </w:rPr>
              <w:t>En baisse</w:t>
            </w:r>
          </w:p>
        </w:tc>
      </w:tr>
      <w:tr>
        <w:tc>
          <w:tcPr>
            <w:tcW w:type="dxa" w:w="1949"/>
          </w:tcPr>
          <w:p>
            <w:r/>
            <w:r>
              <w:rPr>
                <w:sz w:val="18"/>
              </w:rPr>
              <w:t>Réalisation des plans d'action post-incident</w:t>
            </w:r>
          </w:p>
        </w:tc>
        <w:tc>
          <w:tcPr>
            <w:tcW w:type="dxa" w:w="1949"/>
          </w:tcPr>
          <w:p>
            <w:r/>
            <w:r>
              <w:rPr>
                <w:sz w:val="18"/>
              </w:rPr>
              <w:t>&gt; 90 %</w:t>
            </w:r>
          </w:p>
        </w:tc>
        <w:tc>
          <w:tcPr>
            <w:tcW w:type="dxa" w:w="1949"/>
          </w:tcPr>
          <w:p>
            <w:r/>
            <w:r>
              <w:rPr>
                <w:sz w:val="18"/>
              </w:rPr>
              <w:t>72 %</w:t>
            </w:r>
          </w:p>
        </w:tc>
        <w:tc>
          <w:tcPr>
            <w:tcW w:type="dxa" w:w="1949"/>
          </w:tcPr>
          <w:p>
            <w:r/>
            <w:r>
              <w:rPr>
                <w:sz w:val="18"/>
              </w:rPr>
              <w:t>84 %</w:t>
            </w:r>
          </w:p>
        </w:tc>
        <w:tc>
          <w:tcPr>
            <w:tcW w:type="dxa" w:w="1949"/>
          </w:tcPr>
          <w:p>
            <w:r/>
            <w:r>
              <w:rPr>
                <w:sz w:val="18"/>
              </w:rPr>
              <w:t>En hausse</w:t>
            </w:r>
          </w:p>
        </w:tc>
      </w:tr>
      <w:tr>
        <w:tc>
          <w:tcPr>
            <w:tcW w:type="dxa" w:w="1949"/>
          </w:tcPr>
          <w:p>
            <w:r/>
            <w:r>
              <w:rPr>
                <w:sz w:val="18"/>
              </w:rPr>
              <w:t>Articles de base de connaissance créés</w:t>
            </w:r>
          </w:p>
        </w:tc>
        <w:tc>
          <w:tcPr>
            <w:tcW w:type="dxa" w:w="1949"/>
          </w:tcPr>
          <w:p>
            <w:r/>
            <w:r>
              <w:rPr>
                <w:sz w:val="18"/>
              </w:rPr>
              <w:t>&gt; 25 par mois</w:t>
            </w:r>
          </w:p>
        </w:tc>
        <w:tc>
          <w:tcPr>
            <w:tcW w:type="dxa" w:w="1949"/>
          </w:tcPr>
          <w:p>
            <w:r/>
            <w:r>
              <w:rPr>
                <w:sz w:val="18"/>
              </w:rPr>
              <w:t>19</w:t>
            </w:r>
          </w:p>
        </w:tc>
        <w:tc>
          <w:tcPr>
            <w:tcW w:type="dxa" w:w="1949"/>
          </w:tcPr>
          <w:p>
            <w:r/>
            <w:r>
              <w:rPr>
                <w:sz w:val="18"/>
              </w:rPr>
              <w:t>28</w:t>
            </w:r>
          </w:p>
        </w:tc>
        <w:tc>
          <w:tcPr>
            <w:tcW w:type="dxa" w:w="1949"/>
          </w:tcPr>
          <w:p>
            <w:r/>
            <w:r>
              <w:rPr>
                <w:sz w:val="18"/>
              </w:rPr>
              <w:t>En hausse</w:t>
            </w:r>
          </w:p>
        </w:tc>
      </w:tr>
    </w:tbl>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sz w:val="16"/>
      </w:rPr>
      <w:t>OPS-PRO-2026-023 — Interne — Équipes support, exploitation et astreinte</w:t>
      <w:tab/>
      <w:tab/>
      <w:t xml:space="preserve">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d'escalade et de gestion des incidents de production</dc:title>
  <dc:subject>Niveaux N1, N2 et N3, engagements de service, astreintes et gestion de crise</dc:subject>
  <dc:creator>Direction des Opérations — Farid Benali, responsable service delivery</dc:creator>
  <cp:keywords>incident, escalade, N1, N2, N3, astreinte, SLA, criticité, cellule de crise, post-mortem</cp:keywords>
  <dc:description>Cette procédure décrit l'organisation de la prise en charge des incidents affectant les services en production, depuis leur signalement jusqu'à leur clôture et leur analyse post-incident. Elle définit les trois niveaux de support N1, N2 et N3, leurs…</dc:description>
  <cp:lastModifiedBy/>
  <cp:revision>1</cp:revision>
  <dcterms:created xsi:type="dcterms:W3CDTF">2013-12-23T23:15:00Z</dcterms:created>
  <dcterms:modified xsi:type="dcterms:W3CDTF">2013-12-23T23:15:00Z</dcterms:modified>
  <cp:category>incidents</cp:category>
</cp:coreProperties>
</file>