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jnl5rd4v2utq" w:id="0"/>
      <w:bookmarkEnd w:id="0"/>
      <w:r w:rsidDel="00000000" w:rsidR="00000000" w:rsidRPr="00000000">
        <w:rPr>
          <w:rtl w:val="0"/>
        </w:rPr>
        <w:t xml:space="preserve">Guidelines </w:t>
      </w:r>
      <w:r w:rsidDel="00000000" w:rsidR="00000000" w:rsidRPr="00000000">
        <w:rPr>
          <w:rtl w:val="0"/>
        </w:rPr>
        <w:t xml:space="preserve">for Designing Accessible Human-Robot Interactions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35kc8pl9gl1i" w:id="1"/>
      <w:bookmarkEnd w:id="1"/>
      <w:r w:rsidDel="00000000" w:rsidR="00000000" w:rsidRPr="00000000">
        <w:rPr>
          <w:rtl w:val="0"/>
        </w:rPr>
        <w:t xml:space="preserve">Purpose </w:t>
      </w:r>
    </w:p>
    <w:p w:rsidR="00000000" w:rsidDel="00000000" w:rsidP="00000000" w:rsidRDefault="00000000" w:rsidRPr="00000000" w14:paraId="00000004">
      <w:pPr>
        <w:rPr/>
      </w:pPr>
      <w:r w:rsidDel="00000000" w:rsidR="00000000" w:rsidRPr="00000000">
        <w:rPr>
          <w:rtl w:val="0"/>
        </w:rPr>
        <w:t xml:space="preserve">These guidelines are to ensure accessible interactions in mixed human-robot environments. This includes service and industrial robots that operate in public and private settings. We combine ideas from automation, engineering, and robotics – e.g. International Organization for Standardization (ISO) – and accessibility, primarily web/digital accessibility.</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r81bkpa97g15" w:id="2"/>
      <w:bookmarkEnd w:id="2"/>
      <w:r w:rsidDel="00000000" w:rsidR="00000000" w:rsidRPr="00000000">
        <w:rPr>
          <w:rtl w:val="0"/>
        </w:rPr>
        <w:t xml:space="preserve">Defining Accessibility</w:t>
      </w:r>
    </w:p>
    <w:p w:rsidR="00000000" w:rsidDel="00000000" w:rsidP="00000000" w:rsidRDefault="00000000" w:rsidRPr="00000000" w14:paraId="00000007">
      <w:pPr>
        <w:rPr/>
      </w:pPr>
      <w:r w:rsidDel="00000000" w:rsidR="00000000" w:rsidRPr="00000000">
        <w:rPr>
          <w:rtl w:val="0"/>
        </w:rPr>
        <w:t xml:space="preserve">We operationalize “accessibility” by drawing from the principles outlined by Web Content Accessibility Guidelines (WCAG) (</w:t>
      </w:r>
      <w:hyperlink r:id="rId7">
        <w:r w:rsidDel="00000000" w:rsidR="00000000" w:rsidRPr="00000000">
          <w:rPr>
            <w:color w:val="1155cc"/>
            <w:u w:val="single"/>
            <w:rtl w:val="0"/>
          </w:rPr>
          <w:t xml:space="preserve">W3C</w:t>
        </w:r>
      </w:hyperlink>
      <w:r w:rsidDel="00000000" w:rsidR="00000000" w:rsidRPr="00000000">
        <w:rPr>
          <w:rtl w:val="0"/>
        </w:rPr>
        <w:t xml:space="preserve">). The </w:t>
      </w:r>
      <w:r w:rsidDel="00000000" w:rsidR="00000000" w:rsidRPr="00000000">
        <w:rPr>
          <w:rtl w:val="0"/>
        </w:rPr>
        <w:t xml:space="preserve">first 4 principles align </w:t>
      </w:r>
      <w:r w:rsidDel="00000000" w:rsidR="00000000" w:rsidRPr="00000000">
        <w:rPr>
          <w:rtl w:val="0"/>
        </w:rPr>
        <w:t xml:space="preserve">with web accessibility defined by WCAG (Perceivable, Operable, Understandable, and Robust). We define these principles in the context of human-robot interactions. Additional principles are included that are not covered by digital definitions of accessibility but align with robots as physically embodied.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2"/>
        </w:numPr>
        <w:ind w:left="720" w:hanging="360"/>
        <w:rPr>
          <w:u w:val="none"/>
        </w:rPr>
      </w:pPr>
      <w:r w:rsidDel="00000000" w:rsidR="00000000" w:rsidRPr="00000000">
        <w:rPr>
          <w:b w:val="1"/>
          <w:bCs w:val="1"/>
          <w:rtl w:val="0"/>
        </w:rPr>
        <w:t xml:space="preserve">Perceivable:</w:t>
      </w:r>
      <w:r w:rsidDel="00000000" w:rsidR="00000000" w:rsidRPr="00000000">
        <w:rPr>
          <w:rtl w:val="0"/>
        </w:rPr>
        <w:t xml:space="preserve"> Communication from the robot and any user interface components must be presentable to users in ways they can perceive (e.g. communication signals must be perceiveable by users with different dis/abilities.)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2"/>
        </w:numPr>
        <w:ind w:left="720" w:hanging="360"/>
        <w:rPr>
          <w:u w:val="none"/>
        </w:rPr>
      </w:pPr>
      <w:r w:rsidDel="00000000" w:rsidR="00000000" w:rsidRPr="00000000">
        <w:rPr>
          <w:b w:val="1"/>
          <w:bCs w:val="1"/>
          <w:rtl w:val="0"/>
        </w:rPr>
        <w:t xml:space="preserve">Operable:</w:t>
      </w:r>
      <w:r w:rsidDel="00000000" w:rsidR="00000000" w:rsidRPr="00000000">
        <w:rPr>
          <w:rtl w:val="0"/>
        </w:rPr>
        <w:t xml:space="preserve"> User interface components must be operable such that a </w:t>
      </w:r>
      <w:r w:rsidDel="00000000" w:rsidR="00000000" w:rsidRPr="00000000">
        <w:rPr>
          <w:rtl w:val="0"/>
        </w:rPr>
        <w:t xml:space="preserve">human </w:t>
      </w:r>
      <w:r w:rsidDel="00000000" w:rsidR="00000000" w:rsidRPr="00000000">
        <w:rPr>
          <w:rtl w:val="0"/>
        </w:rPr>
        <w:t xml:space="preserve">can safely use &amp; interact with the robot (e.g. people with mobility or physical disabilities must be able to open the delivery robot compartment.)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2"/>
        </w:numPr>
        <w:ind w:left="720" w:hanging="360"/>
        <w:rPr>
          <w:u w:val="none"/>
        </w:rPr>
      </w:pPr>
      <w:r w:rsidDel="00000000" w:rsidR="00000000" w:rsidRPr="00000000">
        <w:rPr>
          <w:b w:val="1"/>
          <w:bCs w:val="1"/>
          <w:rtl w:val="0"/>
        </w:rPr>
        <w:t xml:space="preserve">Understandable:</w:t>
      </w:r>
      <w:r w:rsidDel="00000000" w:rsidR="00000000" w:rsidRPr="00000000">
        <w:rPr>
          <w:rtl w:val="0"/>
        </w:rPr>
        <w:t xml:space="preserve"> Communication from robots and the operation of any user interface must be understandable to the user (e.g. </w:t>
      </w:r>
      <w:r w:rsidDel="00000000" w:rsidR="00000000" w:rsidRPr="00000000">
        <w:rPr>
          <w:rtl w:val="0"/>
        </w:rPr>
        <w:t xml:space="preserve">legible</w:t>
      </w:r>
      <w:r w:rsidDel="00000000" w:rsidR="00000000" w:rsidRPr="00000000">
        <w:rPr>
          <w:vertAlign w:val="superscript"/>
        </w:rPr>
        <w:footnoteReference w:customMarkFollows="0" w:id="0"/>
      </w:r>
      <w:r w:rsidDel="00000000" w:rsidR="00000000" w:rsidRPr="00000000">
        <w:rPr>
          <w:rtl w:val="0"/>
        </w:rPr>
        <w:t xml:space="preserve"> robot motion</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2"/>
        </w:numPr>
        <w:ind w:left="720" w:hanging="360"/>
        <w:rPr>
          <w:u w:val="none"/>
        </w:rPr>
      </w:pPr>
      <w:r w:rsidDel="00000000" w:rsidR="00000000" w:rsidRPr="00000000">
        <w:rPr>
          <w:b w:val="1"/>
          <w:bCs w:val="1"/>
          <w:rtl w:val="0"/>
        </w:rPr>
        <w:t xml:space="preserve">Robust:</w:t>
      </w:r>
      <w:r w:rsidDel="00000000" w:rsidR="00000000" w:rsidRPr="00000000">
        <w:rPr>
          <w:rtl w:val="0"/>
        </w:rPr>
        <w:t xml:space="preserve"> Robots must be algorithmically and physically robust (i.e. adaptive) to operate in a </w:t>
      </w:r>
      <w:r w:rsidDel="00000000" w:rsidR="00000000" w:rsidRPr="00000000">
        <w:rPr>
          <w:b w:val="1"/>
          <w:bCs w:val="1"/>
          <w:rtl w:val="0"/>
        </w:rPr>
        <w:t xml:space="preserve">range of environments</w:t>
      </w:r>
      <w:r w:rsidDel="00000000" w:rsidR="00000000" w:rsidRPr="00000000">
        <w:rPr>
          <w:rtl w:val="0"/>
        </w:rPr>
        <w:t xml:space="preserve"> AND i</w:t>
      </w:r>
      <w:r w:rsidDel="00000000" w:rsidR="00000000" w:rsidRPr="00000000">
        <w:rPr>
          <w:b w:val="1"/>
          <w:bCs w:val="1"/>
          <w:rtl w:val="0"/>
        </w:rPr>
        <w:t xml:space="preserve">nteract with diverse human populations</w:t>
      </w:r>
      <w:r w:rsidDel="00000000" w:rsidR="00000000" w:rsidRPr="00000000">
        <w:rPr>
          <w:rtl w:val="0"/>
        </w:rPr>
        <w:t xml:space="preserve">. Furthermore,</w:t>
      </w:r>
      <w:r w:rsidDel="00000000" w:rsidR="00000000" w:rsidRPr="00000000">
        <w:rPr>
          <w:rtl w:val="0"/>
        </w:rPr>
        <w:t xml:space="preserve"> they must be robust enough to be interpreted reliably by a wide variety of users with different dis/abilities.</w:t>
      </w:r>
      <w:r w:rsidDel="00000000" w:rsidR="00000000" w:rsidRPr="00000000">
        <w:rPr>
          <w:rtl w:val="0"/>
        </w:rPr>
      </w:r>
    </w:p>
    <w:p w:rsidR="00000000" w:rsidDel="00000000" w:rsidP="00000000" w:rsidRDefault="00000000" w:rsidRPr="00000000" w14:paraId="00000010">
      <w:pPr>
        <w:numPr>
          <w:ilvl w:val="1"/>
          <w:numId w:val="12"/>
        </w:numPr>
        <w:ind w:left="1440" w:hanging="360"/>
        <w:rPr>
          <w:u w:val="none"/>
        </w:rPr>
      </w:pPr>
      <w:r w:rsidDel="00000000" w:rsidR="00000000" w:rsidRPr="00000000">
        <w:rPr>
          <w:rtl w:val="0"/>
        </w:rPr>
        <w:t xml:space="preserve">Compatible</w:t>
      </w:r>
    </w:p>
    <w:p w:rsidR="00000000" w:rsidDel="00000000" w:rsidP="00000000" w:rsidRDefault="00000000" w:rsidRPr="00000000" w14:paraId="00000011">
      <w:pPr>
        <w:numPr>
          <w:ilvl w:val="2"/>
          <w:numId w:val="12"/>
        </w:numPr>
        <w:ind w:left="2160" w:hanging="360"/>
        <w:rPr>
          <w:u w:val="none"/>
        </w:rPr>
      </w:pPr>
      <w:r w:rsidDel="00000000" w:rsidR="00000000" w:rsidRPr="00000000">
        <w:rPr>
          <w:rtl w:val="0"/>
        </w:rPr>
        <w:t xml:space="preserve">With people’s current accessibility tools</w:t>
      </w:r>
    </w:p>
    <w:p w:rsidR="00000000" w:rsidDel="00000000" w:rsidP="00000000" w:rsidRDefault="00000000" w:rsidRPr="00000000" w14:paraId="00000012">
      <w:pPr>
        <w:numPr>
          <w:ilvl w:val="2"/>
          <w:numId w:val="12"/>
        </w:numPr>
        <w:ind w:left="2160" w:hanging="360"/>
        <w:rPr>
          <w:u w:val="none"/>
        </w:rPr>
      </w:pPr>
      <w:r w:rsidDel="00000000" w:rsidR="00000000" w:rsidRPr="00000000">
        <w:rPr>
          <w:rtl w:val="0"/>
        </w:rPr>
        <w:t xml:space="preserve">With environmental accessibility (e.g., room to get to elevator buttons)</w:t>
      </w:r>
    </w:p>
    <w:p w:rsidR="00000000" w:rsidDel="00000000" w:rsidP="00000000" w:rsidRDefault="00000000" w:rsidRPr="00000000" w14:paraId="00000013">
      <w:pPr>
        <w:numPr>
          <w:ilvl w:val="3"/>
          <w:numId w:val="12"/>
        </w:numPr>
        <w:ind w:left="2880" w:hanging="360"/>
        <w:rPr>
          <w:u w:val="none"/>
        </w:rPr>
      </w:pPr>
      <w:r w:rsidDel="00000000" w:rsidR="00000000" w:rsidRPr="00000000">
        <w:rPr>
          <w:rtl w:val="0"/>
        </w:rPr>
        <w:t xml:space="preserve">((Can do this through algorithmic accessibility.))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2"/>
        </w:numPr>
        <w:ind w:left="720" w:hanging="360"/>
        <w:rPr>
          <w:b w:val="1"/>
          <w:bCs w:val="1"/>
        </w:rPr>
      </w:pPr>
      <w:r w:rsidDel="00000000" w:rsidR="00000000" w:rsidRPr="00000000">
        <w:rPr>
          <w:b w:val="1"/>
          <w:bCs w:val="1"/>
          <w:rtl w:val="0"/>
        </w:rPr>
        <w:t xml:space="preserve">Spatially non-obstructive: </w:t>
      </w:r>
      <w:r w:rsidDel="00000000" w:rsidR="00000000" w:rsidRPr="00000000">
        <w:rPr>
          <w:rtl w:val="0"/>
        </w:rPr>
        <w:t xml:space="preserve">Robot physical presence is not physically inaccessible NOR does it limit the mobility of diverse populations. </w:t>
      </w:r>
      <w:r w:rsidDel="00000000" w:rsidR="00000000" w:rsidRPr="00000000">
        <w:rPr>
          <w:rtl w:val="0"/>
        </w:rPr>
      </w:r>
    </w:p>
    <w:p w:rsidR="00000000" w:rsidDel="00000000" w:rsidP="00000000" w:rsidRDefault="00000000" w:rsidRPr="00000000" w14:paraId="00000016">
      <w:pPr>
        <w:pStyle w:val="Heading1"/>
        <w:rPr/>
      </w:pPr>
      <w:bookmarkStart w:colFirst="0" w:colLast="0" w:name="_c3rer2eyeux5" w:id="3"/>
      <w:bookmarkEnd w:id="3"/>
      <w:r w:rsidDel="00000000" w:rsidR="00000000" w:rsidRPr="00000000">
        <w:rPr>
          <w:rtl w:val="0"/>
        </w:rPr>
        <w:t xml:space="preserve">Defining Disability</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will also operationalize disability in the context of accessibility. Disability can be long-term/permanent or short-term/temporary. A long-term disability can be one a person is born with or acquires during the duration of their lives. For example, </w:t>
      </w:r>
      <w:r w:rsidDel="00000000" w:rsidR="00000000" w:rsidRPr="00000000">
        <w:rPr>
          <w:rtl w:val="0"/>
        </w:rPr>
        <w:t xml:space="preserve">people who have a visual, mobility, or hearing disability</w:t>
      </w:r>
      <w:r w:rsidDel="00000000" w:rsidR="00000000" w:rsidRPr="00000000">
        <w:rPr>
          <w:rtl w:val="0"/>
        </w:rPr>
        <w:t xml:space="preserve">. A short-term disability is one a person may have temporarily for a few weeks or months. This can be due to an illness or </w:t>
      </w:r>
      <w:r w:rsidDel="00000000" w:rsidR="00000000" w:rsidRPr="00000000">
        <w:rPr>
          <w:rtl w:val="0"/>
        </w:rPr>
        <w:t xml:space="preserve">injury</w:t>
      </w:r>
      <w:r w:rsidDel="00000000" w:rsidR="00000000" w:rsidRPr="00000000">
        <w:rPr>
          <w:rtl w:val="0"/>
        </w:rPr>
        <w:t xml:space="preserve">. Important to consider is people can have “situational” impairments; for example, momentarily having your vision occluded during driving.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Scholars note that disability is not simply defined by one’s medical diagnosis but  “but the social norms that define particular attributes as impairments, as well as the social conditions that concentrate stigmatized attributes in particular populations.” (</w:t>
      </w:r>
      <w:hyperlink r:id="rId8">
        <w:r w:rsidDel="00000000" w:rsidR="00000000" w:rsidRPr="00000000">
          <w:rPr>
            <w:color w:val="1155cc"/>
            <w:u w:val="single"/>
            <w:rtl w:val="0"/>
          </w:rPr>
          <w:t xml:space="preserve">Minich, 2016</w:t>
        </w:r>
      </w:hyperlink>
      <w:r w:rsidDel="00000000" w:rsidR="00000000" w:rsidRPr="00000000">
        <w:rPr>
          <w:rtl w:val="0"/>
        </w:rPr>
        <w:t xml:space="preserve">). Here, these models are broadly divided into a medical model of disability, which focuses on disability as an “impairment” needing to be cured (</w:t>
      </w:r>
      <w:hyperlink r:id="rId9">
        <w:r w:rsidDel="00000000" w:rsidR="00000000" w:rsidRPr="00000000">
          <w:rPr>
            <w:color w:val="1155cc"/>
            <w:u w:val="single"/>
            <w:rtl w:val="0"/>
          </w:rPr>
          <w:t xml:space="preserve">Mankoff, 2010</w:t>
        </w:r>
      </w:hyperlink>
      <w:r w:rsidDel="00000000" w:rsidR="00000000" w:rsidRPr="00000000">
        <w:rPr>
          <w:rtl w:val="0"/>
        </w:rPr>
        <w:t xml:space="preserve">)</w:t>
      </w:r>
      <w:r w:rsidDel="00000000" w:rsidR="00000000" w:rsidRPr="00000000">
        <w:rPr>
          <w:rtl w:val="0"/>
        </w:rPr>
        <w:t xml:space="preserve">; and a social model of disability, which views disability as an identity on top of a person’s “impairment”, which society uses to socially exclude people with disabilities (</w:t>
      </w:r>
      <w:hyperlink r:id="rId10">
        <w:r w:rsidDel="00000000" w:rsidR="00000000" w:rsidRPr="00000000">
          <w:rPr>
            <w:color w:val="1155cc"/>
            <w:u w:val="single"/>
            <w:rtl w:val="0"/>
          </w:rPr>
          <w:t xml:space="preserve">Shakespeare, 2006</w:t>
        </w:r>
      </w:hyperlink>
      <w:r w:rsidDel="00000000" w:rsidR="00000000" w:rsidRPr="00000000">
        <w:rPr>
          <w:rtl w:val="0"/>
        </w:rPr>
        <w:t xml:space="preserve">).Robots that interact with or near people. Includes service robots, industrial robots near people</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Robots that only interact near people only in specific situations (e.g., the robot is behind a fence, and a mechanic may go fix it under specific situations)</w:t>
      </w:r>
    </w:p>
    <w:p w:rsidR="00000000" w:rsidDel="00000000" w:rsidP="00000000" w:rsidRDefault="00000000" w:rsidRPr="00000000" w14:paraId="0000001B">
      <w:pPr>
        <w:rPr/>
      </w:pPr>
      <w:r w:rsidDel="00000000" w:rsidR="00000000" w:rsidRPr="00000000">
        <w:rPr>
          <w:rtl w:val="0"/>
        </w:rPr>
        <w:t xml:space="preserve">We will focus on #1 now (and think about #2 later)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suu7v78rdexj" w:id="4"/>
      <w:bookmarkEnd w:id="4"/>
      <w:r w:rsidDel="00000000" w:rsidR="00000000" w:rsidRPr="00000000">
        <w:rPr>
          <w:rtl w:val="0"/>
        </w:rPr>
        <w:t xml:space="preserve">Industrial Robots</w:t>
      </w:r>
    </w:p>
    <w:p w:rsidR="00000000" w:rsidDel="00000000" w:rsidP="00000000" w:rsidRDefault="00000000" w:rsidRPr="00000000" w14:paraId="0000001E">
      <w:pPr>
        <w:rPr>
          <w:sz w:val="32"/>
          <w:szCs w:val="32"/>
        </w:rPr>
      </w:pPr>
      <w:r w:rsidDel="00000000" w:rsidR="00000000" w:rsidRPr="00000000">
        <w:rPr>
          <w:sz w:val="32"/>
          <w:szCs w:val="32"/>
          <w:rtl w:val="0"/>
        </w:rPr>
        <w:t xml:space="preserve">Definition</w:t>
      </w:r>
    </w:p>
    <w:p w:rsidR="00000000" w:rsidDel="00000000" w:rsidP="00000000" w:rsidRDefault="00000000" w:rsidRPr="00000000" w14:paraId="0000001F">
      <w:pPr>
        <w:rPr/>
      </w:pPr>
      <w:r w:rsidDel="00000000" w:rsidR="00000000" w:rsidRPr="00000000">
        <w:rPr>
          <w:rtl w:val="0"/>
        </w:rPr>
        <w:t xml:space="preserve">An industrial robot is one that is an “automatically controlled, reprogrammable multipurpose manipulator, programmable in three or more axes, which can be either fixed in place or fixed to a mobile platform for use in automation applications in an industrial environment" (</w:t>
      </w:r>
      <w:hyperlink r:id="rId11">
        <w:r w:rsidDel="00000000" w:rsidR="00000000" w:rsidRPr="00000000">
          <w:rPr>
            <w:color w:val="1155cc"/>
            <w:u w:val="single"/>
            <w:rtl w:val="0"/>
          </w:rPr>
          <w:t xml:space="preserve">ISO 8373:2021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pStyle w:val="Heading1"/>
        <w:rPr/>
      </w:pPr>
      <w:bookmarkStart w:colFirst="0" w:colLast="0" w:name="_9zjy0ou8zs2l" w:id="5"/>
      <w:bookmarkEnd w:id="5"/>
      <w:r w:rsidDel="00000000" w:rsidR="00000000" w:rsidRPr="00000000">
        <w:rPr>
          <w:rtl w:val="0"/>
        </w:rPr>
      </w:r>
    </w:p>
    <w:p w:rsidR="00000000" w:rsidDel="00000000" w:rsidP="00000000" w:rsidRDefault="00000000" w:rsidRPr="00000000" w14:paraId="00000021">
      <w:pPr>
        <w:pStyle w:val="Heading1"/>
        <w:rPr>
          <w:sz w:val="18"/>
          <w:szCs w:val="18"/>
        </w:rPr>
      </w:pPr>
      <w:bookmarkStart w:colFirst="0" w:colLast="0" w:name="_c5by26cwcabq" w:id="6"/>
      <w:bookmarkEnd w:id="6"/>
      <w:r w:rsidDel="00000000" w:rsidR="00000000" w:rsidRPr="00000000">
        <w:rPr>
          <w:rtl w:val="0"/>
        </w:rPr>
        <w:t xml:space="preserve">Service Robots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1hxdhtrpoz0e" w:id="7"/>
      <w:bookmarkEnd w:id="7"/>
      <w:r w:rsidDel="00000000" w:rsidR="00000000" w:rsidRPr="00000000">
        <w:rPr>
          <w:rtl w:val="0"/>
        </w:rPr>
        <w:t xml:space="preserve">Definition</w:t>
      </w:r>
    </w:p>
    <w:p w:rsidR="00000000" w:rsidDel="00000000" w:rsidP="00000000" w:rsidRDefault="00000000" w:rsidRPr="00000000" w14:paraId="00000024">
      <w:pPr>
        <w:rPr/>
      </w:pPr>
      <w:r w:rsidDel="00000000" w:rsidR="00000000" w:rsidRPr="00000000">
        <w:rPr>
          <w:rtl w:val="0"/>
        </w:rPr>
        <w:t xml:space="preserve">A service robot (SR) is one that is for “personal use or professional use that </w:t>
      </w:r>
      <w:r w:rsidDel="00000000" w:rsidR="00000000" w:rsidRPr="00000000">
        <w:rPr>
          <w:b w:val="1"/>
          <w:bCs w:val="1"/>
          <w:rtl w:val="0"/>
        </w:rPr>
        <w:t xml:space="preserve">performs useful tasks</w:t>
      </w:r>
      <w:r w:rsidDel="00000000" w:rsidR="00000000" w:rsidRPr="00000000">
        <w:rPr>
          <w:rtl w:val="0"/>
        </w:rPr>
        <w:t xml:space="preserve"> for humans or equipment" (</w:t>
      </w:r>
      <w:hyperlink r:id="rId12">
        <w:r w:rsidDel="00000000" w:rsidR="00000000" w:rsidRPr="00000000">
          <w:rPr>
            <w:color w:val="1155cc"/>
            <w:u w:val="single"/>
            <w:rtl w:val="0"/>
          </w:rPr>
          <w:t xml:space="preserve">ISO 8373:2021</w:t>
        </w:r>
      </w:hyperlink>
      <w:r w:rsidDel="00000000" w:rsidR="00000000" w:rsidRPr="00000000">
        <w:rPr>
          <w:rtl w:val="0"/>
        </w:rPr>
        <w:t xml:space="preserve">). </w:t>
      </w:r>
      <w:r w:rsidDel="00000000" w:rsidR="00000000" w:rsidRPr="00000000">
        <w:rPr>
          <w:b w:val="1"/>
          <w:bCs w:val="1"/>
          <w:rtl w:val="0"/>
        </w:rPr>
        <w:t xml:space="preserve">Personal use</w:t>
      </w:r>
      <w:r w:rsidDel="00000000" w:rsidR="00000000" w:rsidRPr="00000000">
        <w:rPr>
          <w:rtl w:val="0"/>
        </w:rPr>
        <w:t xml:space="preserve"> tasks include “handling or serving of items, transportation, physical support, providing guidance or information, grooming, cooking and food handling, and cleaning.”</w:t>
      </w:r>
      <w:r w:rsidDel="00000000" w:rsidR="00000000" w:rsidRPr="00000000">
        <w:rPr>
          <w:b w:val="1"/>
          <w:bCs w:val="1"/>
          <w:rtl w:val="0"/>
        </w:rPr>
        <w:t xml:space="preserve"> Professional use tasks</w:t>
      </w:r>
      <w:r w:rsidDel="00000000" w:rsidR="00000000" w:rsidRPr="00000000">
        <w:rPr>
          <w:rtl w:val="0"/>
        </w:rPr>
        <w:t xml:space="preserve"> include “inspection, surveillance, handling of items, </w:t>
      </w:r>
      <w:r w:rsidDel="00000000" w:rsidR="00000000" w:rsidRPr="00000000">
        <w:rPr>
          <w:rtl w:val="0"/>
        </w:rPr>
        <w:t xml:space="preserve">person</w:t>
      </w:r>
      <w:r w:rsidDel="00000000" w:rsidR="00000000" w:rsidRPr="00000000">
        <w:rPr>
          <w:rtl w:val="0"/>
        </w:rPr>
        <w:t xml:space="preserve"> transportation, providing guidance or information, cooking and food handling, and cleaning.”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Some examples include autonomous delivery robots used for e-commerce last-mile delivery; or social robots used for personal wellbeing tasks.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Other examples include “Agriculture Robots,  Construction Robots, Customer Service Robots,  Defense Robots Demolition, Robots Exoskeleton, Robots Field Robots, Humanoid Robots, Industrial Cleaning Robots, Inspection Robots, Logistics Robots, Medical Robots</w:t>
      </w:r>
      <w:r w:rsidDel="00000000" w:rsidR="00000000" w:rsidRPr="00000000">
        <w:rPr>
          <w:vertAlign w:val="superscript"/>
        </w:rPr>
        <w:footnoteReference w:customMarkFollows="0" w:id="1"/>
      </w:r>
      <w:r w:rsidDel="00000000" w:rsidR="00000000" w:rsidRPr="00000000">
        <w:rPr>
          <w:rtl w:val="0"/>
        </w:rPr>
        <w:t xml:space="preserve">”. (</w:t>
      </w:r>
      <w:hyperlink r:id="rId13">
        <w:r w:rsidDel="00000000" w:rsidR="00000000" w:rsidRPr="00000000">
          <w:rPr>
            <w:color w:val="1155cc"/>
            <w:u w:val="single"/>
            <w:rtl w:val="0"/>
          </w:rPr>
          <w:t xml:space="preserve">Association for Advancing Automation Robotics</w:t>
        </w:r>
      </w:hyperlink>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eskdtej3rkmu" w:id="8"/>
      <w:bookmarkEnd w:id="8"/>
      <w:r w:rsidDel="00000000" w:rsidR="00000000" w:rsidRPr="00000000">
        <w:rPr>
          <w:rtl w:val="0"/>
        </w:rPr>
        <w:t xml:space="preserve">Possible divisions</w:t>
      </w:r>
    </w:p>
    <w:p w:rsidR="00000000" w:rsidDel="00000000" w:rsidP="00000000" w:rsidRDefault="00000000" w:rsidRPr="00000000" w14:paraId="0000002D">
      <w:pPr>
        <w:numPr>
          <w:ilvl w:val="0"/>
          <w:numId w:val="11"/>
        </w:numPr>
        <w:ind w:left="720" w:hanging="360"/>
        <w:rPr>
          <w:u w:val="none"/>
        </w:rPr>
      </w:pPr>
      <w:r w:rsidDel="00000000" w:rsidR="00000000" w:rsidRPr="00000000">
        <w:rPr>
          <w:rtl w:val="0"/>
        </w:rPr>
        <w:t xml:space="preserve">Interactor </w:t>
      </w:r>
    </w:p>
    <w:p w:rsidR="00000000" w:rsidDel="00000000" w:rsidP="00000000" w:rsidRDefault="00000000" w:rsidRPr="00000000" w14:paraId="0000002E">
      <w:pPr>
        <w:numPr>
          <w:ilvl w:val="1"/>
          <w:numId w:val="11"/>
        </w:numPr>
        <w:ind w:left="1440" w:hanging="360"/>
        <w:rPr>
          <w:u w:val="none"/>
        </w:rPr>
      </w:pPr>
      <w:r w:rsidDel="00000000" w:rsidR="00000000" w:rsidRPr="00000000">
        <w:rPr>
          <w:rtl w:val="0"/>
        </w:rPr>
        <w:t xml:space="preserve">Needs are: POUR</w:t>
      </w:r>
    </w:p>
    <w:p w:rsidR="00000000" w:rsidDel="00000000" w:rsidP="00000000" w:rsidRDefault="00000000" w:rsidRPr="00000000" w14:paraId="0000002F">
      <w:pPr>
        <w:numPr>
          <w:ilvl w:val="0"/>
          <w:numId w:val="11"/>
        </w:numPr>
        <w:ind w:left="720" w:hanging="360"/>
        <w:rPr>
          <w:u w:val="none"/>
        </w:rPr>
      </w:pPr>
      <w:r w:rsidDel="00000000" w:rsidR="00000000" w:rsidRPr="00000000">
        <w:rPr>
          <w:rtl w:val="0"/>
        </w:rPr>
        <w:t xml:space="preserve">Bystander</w:t>
      </w:r>
    </w:p>
    <w:p w:rsidR="00000000" w:rsidDel="00000000" w:rsidP="00000000" w:rsidRDefault="00000000" w:rsidRPr="00000000" w14:paraId="00000030">
      <w:pPr>
        <w:numPr>
          <w:ilvl w:val="1"/>
          <w:numId w:val="11"/>
        </w:numPr>
        <w:ind w:left="1440" w:hanging="360"/>
        <w:rPr>
          <w:u w:val="none"/>
        </w:rPr>
      </w:pPr>
      <w:r w:rsidDel="00000000" w:rsidR="00000000" w:rsidRPr="00000000">
        <w:rPr>
          <w:rtl w:val="0"/>
        </w:rPr>
        <w:t xml:space="preserve">Needs are: perceivable, robust, (understandable?)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r1k0hn8h1r8q" w:id="9"/>
      <w:bookmarkEnd w:id="9"/>
      <w:r w:rsidDel="00000000" w:rsidR="00000000" w:rsidRPr="00000000">
        <w:rPr>
          <w:rtl w:val="0"/>
        </w:rPr>
        <w:t xml:space="preserve">Guidelines: </w:t>
      </w:r>
      <w:r w:rsidDel="00000000" w:rsidR="00000000" w:rsidRPr="00000000">
        <w:rPr>
          <w:rtl w:val="0"/>
        </w:rPr>
        <w:t xml:space="preserve">POURS</w:t>
      </w:r>
      <w:r w:rsidDel="00000000" w:rsidR="00000000" w:rsidRPr="00000000">
        <w:rPr>
          <w:rtl w:val="0"/>
        </w:rPr>
      </w:r>
    </w:p>
    <w:p w:rsidR="00000000" w:rsidDel="00000000" w:rsidP="00000000" w:rsidRDefault="00000000" w:rsidRPr="00000000" w14:paraId="00000033">
      <w:pPr>
        <w:pStyle w:val="Heading3"/>
        <w:numPr>
          <w:ilvl w:val="0"/>
          <w:numId w:val="9"/>
        </w:numPr>
        <w:rPr>
          <w:color w:val="000000"/>
        </w:rPr>
      </w:pPr>
      <w:bookmarkStart w:colFirst="0" w:colLast="0" w:name="_se9y6xli2a9a" w:id="10"/>
      <w:bookmarkEnd w:id="10"/>
      <w:r w:rsidDel="00000000" w:rsidR="00000000" w:rsidRPr="00000000">
        <w:rPr>
          <w:rtl w:val="0"/>
        </w:rPr>
        <w:t xml:space="preserve">Perceivable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SR</w:t>
      </w:r>
      <w:r w:rsidDel="00000000" w:rsidR="00000000" w:rsidRPr="00000000">
        <w:rPr>
          <w:rtl w:val="0"/>
        </w:rPr>
        <w:t xml:space="preserve"> communication output (signals) must be perceivable to people of different dis/abilities. Multimodal Outputs from SRs are crucial [2]. </w:t>
      </w:r>
      <w:r w:rsidDel="00000000" w:rsidR="00000000" w:rsidRPr="00000000">
        <w:rPr>
          <w:rtl w:val="0"/>
        </w:rPr>
      </w:r>
    </w:p>
    <w:p w:rsidR="00000000" w:rsidDel="00000000" w:rsidP="00000000" w:rsidRDefault="00000000" w:rsidRPr="00000000" w14:paraId="00000036">
      <w:pPr>
        <w:numPr>
          <w:ilvl w:val="0"/>
          <w:numId w:val="6"/>
        </w:numPr>
        <w:ind w:left="720" w:hanging="360"/>
        <w:rPr>
          <w:u w:val="none"/>
        </w:rPr>
      </w:pPr>
      <w:r w:rsidDel="00000000" w:rsidR="00000000" w:rsidRPr="00000000">
        <w:rPr>
          <w:rtl w:val="0"/>
        </w:rPr>
        <w:t xml:space="preserve">Regardless of whether user or bystander, the robot needs to provide multimodal cues, including:</w:t>
      </w:r>
    </w:p>
    <w:p w:rsidR="00000000" w:rsidDel="00000000" w:rsidP="00000000" w:rsidRDefault="00000000" w:rsidRPr="00000000" w14:paraId="00000037">
      <w:pPr>
        <w:numPr>
          <w:ilvl w:val="1"/>
          <w:numId w:val="6"/>
        </w:numPr>
        <w:ind w:left="1440" w:hanging="360"/>
        <w:rPr>
          <w:u w:val="none"/>
        </w:rPr>
      </w:pPr>
      <w:r w:rsidDel="00000000" w:rsidR="00000000" w:rsidRPr="00000000">
        <w:rPr>
          <w:rtl w:val="0"/>
        </w:rPr>
        <w:t xml:space="preserve">Visual cues</w:t>
      </w:r>
    </w:p>
    <w:p w:rsidR="00000000" w:rsidDel="00000000" w:rsidP="00000000" w:rsidRDefault="00000000" w:rsidRPr="00000000" w14:paraId="00000038">
      <w:pPr>
        <w:numPr>
          <w:ilvl w:val="2"/>
          <w:numId w:val="6"/>
        </w:numPr>
        <w:ind w:left="2160" w:hanging="360"/>
        <w:rPr>
          <w:u w:val="none"/>
        </w:rPr>
      </w:pPr>
      <w:r w:rsidDel="00000000" w:rsidR="00000000" w:rsidRPr="00000000">
        <w:rPr>
          <w:rtl w:val="0"/>
        </w:rPr>
        <w:t xml:space="preserve">Lights</w:t>
      </w:r>
    </w:p>
    <w:p w:rsidR="00000000" w:rsidDel="00000000" w:rsidP="00000000" w:rsidRDefault="00000000" w:rsidRPr="00000000" w14:paraId="00000039">
      <w:pPr>
        <w:numPr>
          <w:ilvl w:val="2"/>
          <w:numId w:val="6"/>
        </w:numPr>
        <w:ind w:left="2160" w:hanging="360"/>
        <w:rPr>
          <w:u w:val="none"/>
        </w:rPr>
      </w:pPr>
      <w:r w:rsidDel="00000000" w:rsidR="00000000" w:rsidRPr="00000000">
        <w:rPr>
          <w:rtl w:val="0"/>
        </w:rPr>
        <w:t xml:space="preserve">On-body/screen text [6]</w:t>
      </w:r>
    </w:p>
    <w:p w:rsidR="00000000" w:rsidDel="00000000" w:rsidP="00000000" w:rsidRDefault="00000000" w:rsidRPr="00000000" w14:paraId="0000003A">
      <w:pPr>
        <w:numPr>
          <w:ilvl w:val="1"/>
          <w:numId w:val="6"/>
        </w:numPr>
        <w:ind w:left="1440" w:hanging="360"/>
        <w:rPr>
          <w:u w:val="none"/>
        </w:rPr>
      </w:pPr>
      <w:r w:rsidDel="00000000" w:rsidR="00000000" w:rsidRPr="00000000">
        <w:rPr>
          <w:rtl w:val="0"/>
        </w:rPr>
        <w:t xml:space="preserve">Auditory Cues</w:t>
      </w:r>
    </w:p>
    <w:p w:rsidR="00000000" w:rsidDel="00000000" w:rsidP="00000000" w:rsidRDefault="00000000" w:rsidRPr="00000000" w14:paraId="0000003B">
      <w:pPr>
        <w:numPr>
          <w:ilvl w:val="2"/>
          <w:numId w:val="6"/>
        </w:numPr>
        <w:ind w:left="2160" w:hanging="360"/>
        <w:rPr>
          <w:u w:val="none"/>
        </w:rPr>
      </w:pPr>
      <w:r w:rsidDel="00000000" w:rsidR="00000000" w:rsidRPr="00000000">
        <w:rPr>
          <w:rtl w:val="0"/>
        </w:rPr>
        <w:t xml:space="preserve">Speech</w:t>
      </w:r>
    </w:p>
    <w:p w:rsidR="00000000" w:rsidDel="00000000" w:rsidP="00000000" w:rsidRDefault="00000000" w:rsidRPr="00000000" w14:paraId="0000003C">
      <w:pPr>
        <w:numPr>
          <w:ilvl w:val="2"/>
          <w:numId w:val="6"/>
        </w:numPr>
        <w:ind w:left="2160" w:hanging="360"/>
        <w:rPr>
          <w:u w:val="none"/>
        </w:rPr>
      </w:pPr>
      <w:r w:rsidDel="00000000" w:rsidR="00000000" w:rsidRPr="00000000">
        <w:rPr>
          <w:rtl w:val="0"/>
        </w:rPr>
        <w:t xml:space="preserve">Non-speech auditory pings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8"/>
        </w:numPr>
        <w:ind w:left="720" w:hanging="360"/>
        <w:rPr>
          <w:u w:val="none"/>
        </w:rPr>
      </w:pPr>
      <w:r w:rsidDel="00000000" w:rsidR="00000000" w:rsidRPr="00000000">
        <w:rPr>
          <w:rtl w:val="0"/>
        </w:rPr>
        <w:t xml:space="preserve">But for users, additional modalities include:</w:t>
      </w:r>
    </w:p>
    <w:p w:rsidR="00000000" w:rsidDel="00000000" w:rsidP="00000000" w:rsidRDefault="00000000" w:rsidRPr="00000000" w14:paraId="0000003F">
      <w:pPr>
        <w:numPr>
          <w:ilvl w:val="1"/>
          <w:numId w:val="8"/>
        </w:numPr>
        <w:ind w:left="1440" w:hanging="360"/>
        <w:rPr>
          <w:u w:val="none"/>
        </w:rPr>
      </w:pPr>
      <w:r w:rsidDel="00000000" w:rsidR="00000000" w:rsidRPr="00000000">
        <w:rPr>
          <w:rtl w:val="0"/>
        </w:rPr>
        <w:t xml:space="preserve">Social, cultural, communication conventions [</w:t>
      </w:r>
      <w:hyperlink r:id="rId14">
        <w:r w:rsidDel="00000000" w:rsidR="00000000" w:rsidRPr="00000000">
          <w:rPr>
            <w:color w:val="1155cc"/>
            <w:u w:val="single"/>
            <w:rtl w:val="0"/>
          </w:rPr>
          <w:t xml:space="preserve">Hersh</w:t>
        </w:r>
      </w:hyperlink>
      <w:r w:rsidDel="00000000" w:rsidR="00000000" w:rsidRPr="00000000">
        <w:rPr>
          <w:rtl w:val="0"/>
        </w:rPr>
        <w:t xml:space="preserve">]</w:t>
      </w:r>
    </w:p>
    <w:p w:rsidR="00000000" w:rsidDel="00000000" w:rsidP="00000000" w:rsidRDefault="00000000" w:rsidRPr="00000000" w14:paraId="00000040">
      <w:pPr>
        <w:numPr>
          <w:ilvl w:val="1"/>
          <w:numId w:val="6"/>
        </w:numPr>
        <w:ind w:left="1440" w:hanging="360"/>
        <w:rPr>
          <w:u w:val="none"/>
        </w:rPr>
      </w:pPr>
      <w:r w:rsidDel="00000000" w:rsidR="00000000" w:rsidRPr="00000000">
        <w:rPr>
          <w:rtl w:val="0"/>
        </w:rPr>
        <w:t xml:space="preserve">Tactile - e.g., is it okay to tap the table? - need more research/co-create guidelines</w:t>
      </w:r>
    </w:p>
    <w:p w:rsidR="00000000" w:rsidDel="00000000" w:rsidP="00000000" w:rsidRDefault="00000000" w:rsidRPr="00000000" w14:paraId="00000041">
      <w:pPr>
        <w:numPr>
          <w:ilvl w:val="1"/>
          <w:numId w:val="6"/>
        </w:numPr>
        <w:ind w:left="1440" w:hanging="360"/>
        <w:rPr>
          <w:u w:val="none"/>
        </w:rPr>
      </w:pPr>
      <w:r w:rsidDel="00000000" w:rsidR="00000000" w:rsidRPr="00000000">
        <w:rPr>
          <w:rtl w:val="0"/>
        </w:rPr>
        <w:t xml:space="preserve">Text alternatives - like WCAG 1.1</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6"/>
        </w:numPr>
        <w:ind w:left="720" w:hanging="360"/>
        <w:rPr>
          <w:u w:val="none"/>
        </w:rPr>
      </w:pPr>
      <w:r w:rsidDel="00000000" w:rsidR="00000000" w:rsidRPr="00000000">
        <w:rPr>
          <w:rtl w:val="0"/>
        </w:rPr>
        <w:t xml:space="preserve">Automatically-adjustable based on ambient awareness [2, 1].</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pStyle w:val="Heading3"/>
        <w:numPr>
          <w:ilvl w:val="0"/>
          <w:numId w:val="9"/>
        </w:numPr>
        <w:ind w:left="720" w:hanging="360"/>
        <w:rPr/>
      </w:pPr>
      <w:bookmarkStart w:colFirst="0" w:colLast="0" w:name="_7vuwbau9o2mu" w:id="11"/>
      <w:bookmarkEnd w:id="11"/>
      <w:r w:rsidDel="00000000" w:rsidR="00000000" w:rsidRPr="00000000">
        <w:rPr>
          <w:rtl w:val="0"/>
        </w:rPr>
        <w:t xml:space="preserve">Operable: humans can use the interface.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SR communication input must be </w:t>
      </w:r>
      <w:r w:rsidDel="00000000" w:rsidR="00000000" w:rsidRPr="00000000">
        <w:rPr>
          <w:rtl w:val="0"/>
        </w:rPr>
        <w:t xml:space="preserve">perceivable </w:t>
      </w:r>
      <w:r w:rsidDel="00000000" w:rsidR="00000000" w:rsidRPr="00000000">
        <w:rPr>
          <w:rtl w:val="0"/>
        </w:rPr>
        <w:t xml:space="preserve">to people of different dis/abilities. Thus, redundancy is crucial [2].</w:t>
      </w:r>
    </w:p>
    <w:p w:rsidR="00000000" w:rsidDel="00000000" w:rsidP="00000000" w:rsidRDefault="00000000" w:rsidRPr="00000000" w14:paraId="00000049">
      <w:pPr>
        <w:numPr>
          <w:ilvl w:val="0"/>
          <w:numId w:val="3"/>
        </w:numPr>
        <w:ind w:left="1440" w:hanging="360"/>
        <w:rPr>
          <w:u w:val="none"/>
        </w:rPr>
      </w:pPr>
      <w:r w:rsidDel="00000000" w:rsidR="00000000" w:rsidRPr="00000000">
        <w:rPr>
          <w:rtl w:val="0"/>
        </w:rPr>
        <w:t xml:space="preserve">Smartphone Applications (Apps)</w:t>
      </w:r>
    </w:p>
    <w:p w:rsidR="00000000" w:rsidDel="00000000" w:rsidP="00000000" w:rsidRDefault="00000000" w:rsidRPr="00000000" w14:paraId="0000004A">
      <w:pPr>
        <w:numPr>
          <w:ilvl w:val="0"/>
          <w:numId w:val="3"/>
        </w:numPr>
        <w:ind w:left="1440" w:hanging="360"/>
        <w:rPr>
          <w:u w:val="none"/>
        </w:rPr>
      </w:pPr>
      <w:r w:rsidDel="00000000" w:rsidR="00000000" w:rsidRPr="00000000">
        <w:rPr>
          <w:rtl w:val="0"/>
        </w:rPr>
        <w:t xml:space="preserve">Tangible interfaces (e.g. buttons or touch-pads)</w:t>
      </w:r>
    </w:p>
    <w:p w:rsidR="00000000" w:rsidDel="00000000" w:rsidP="00000000" w:rsidRDefault="00000000" w:rsidRPr="00000000" w14:paraId="0000004B">
      <w:pPr>
        <w:numPr>
          <w:ilvl w:val="0"/>
          <w:numId w:val="3"/>
        </w:numPr>
        <w:ind w:left="1440" w:hanging="360"/>
        <w:rPr>
          <w:u w:val="none"/>
        </w:rPr>
      </w:pPr>
      <w:r w:rsidDel="00000000" w:rsidR="00000000" w:rsidRPr="00000000">
        <w:rPr>
          <w:rtl w:val="0"/>
        </w:rPr>
        <w:t xml:space="preserve">Voice interaction</w:t>
      </w:r>
    </w:p>
    <w:p w:rsidR="00000000" w:rsidDel="00000000" w:rsidP="00000000" w:rsidRDefault="00000000" w:rsidRPr="00000000" w14:paraId="0000004C">
      <w:pPr>
        <w:numPr>
          <w:ilvl w:val="0"/>
          <w:numId w:val="3"/>
        </w:numPr>
        <w:ind w:left="1440" w:hanging="360"/>
        <w:rPr>
          <w:u w:val="none"/>
        </w:rPr>
      </w:pPr>
      <w:r w:rsidDel="00000000" w:rsidR="00000000" w:rsidRPr="00000000">
        <w:rPr>
          <w:rtl w:val="0"/>
        </w:rPr>
        <w:t xml:space="preserve">Gesture-based </w:t>
      </w:r>
      <w:r w:rsidDel="00000000" w:rsidR="00000000" w:rsidRPr="00000000">
        <w:rPr>
          <w:rtl w:val="0"/>
        </w:rPr>
        <w:t xml:space="preserve">languages</w:t>
      </w:r>
      <w:r w:rsidDel="00000000" w:rsidR="00000000" w:rsidRPr="00000000">
        <w:rPr>
          <w:rtl w:val="0"/>
        </w:rPr>
        <w:t xml:space="preserve"> (e.g. American Sign Language, etc)</w:t>
      </w:r>
    </w:p>
    <w:p w:rsidR="00000000" w:rsidDel="00000000" w:rsidP="00000000" w:rsidRDefault="00000000" w:rsidRPr="00000000" w14:paraId="0000004D">
      <w:pPr>
        <w:numPr>
          <w:ilvl w:val="0"/>
          <w:numId w:val="3"/>
        </w:numPr>
        <w:ind w:left="1440" w:hanging="360"/>
        <w:rPr>
          <w:u w:val="none"/>
        </w:rPr>
      </w:pPr>
      <w:r w:rsidDel="00000000" w:rsidR="00000000" w:rsidRPr="00000000">
        <w:rPr>
          <w:rtl w:val="0"/>
        </w:rPr>
        <w:t xml:space="preserve">Augmentative and Alternative Communication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10"/>
        </w:numPr>
        <w:ind w:left="720" w:hanging="360"/>
        <w:rPr>
          <w:u w:val="none"/>
        </w:rPr>
      </w:pPr>
      <w:r w:rsidDel="00000000" w:rsidR="00000000" w:rsidRPr="00000000">
        <w:rPr>
          <w:rtl w:val="0"/>
        </w:rPr>
        <w:t xml:space="preserve">Robot morphology (i.e., robot’s physical structure) is consistent with the task. The affordances engendered by the robot’s morphology can enable use by diverse populations. For example, a humanoid robot with hands and arms affords dexterous manipulations, which renders it usable by populations with limited mobility. </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13"/>
        </w:numPr>
        <w:ind w:left="720" w:hanging="360"/>
      </w:pPr>
      <w:r w:rsidDel="00000000" w:rsidR="00000000" w:rsidRPr="00000000">
        <w:rPr>
          <w:rtl w:val="0"/>
        </w:rPr>
        <w:t xml:space="preserve">SRs must support communication from people with different dis/abilities [1]. For example, robots must have natural language processing to support voice interaction and computer vision with gesture recognition algorithms to support gesture-based language communication [2].</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 Proximity (Proxemics) → close enough that the user can interact with it.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numPr>
          <w:ilvl w:val="0"/>
          <w:numId w:val="9"/>
        </w:numPr>
        <w:ind w:left="720" w:hanging="360"/>
        <w:rPr/>
      </w:pPr>
      <w:bookmarkStart w:colFirst="0" w:colLast="0" w:name="_nwnr7acnsyoi" w:id="12"/>
      <w:bookmarkEnd w:id="12"/>
      <w:r w:rsidDel="00000000" w:rsidR="00000000" w:rsidRPr="00000000">
        <w:rPr>
          <w:rtl w:val="0"/>
        </w:rPr>
        <w:t xml:space="preserve">Understandable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14"/>
        </w:numPr>
        <w:ind w:left="1440" w:hanging="360"/>
        <w:rPr>
          <w:u w:val="none"/>
        </w:rPr>
      </w:pPr>
      <w:r w:rsidDel="00000000" w:rsidR="00000000" w:rsidRPr="00000000">
        <w:rPr>
          <w:rtl w:val="0"/>
        </w:rPr>
        <w:t xml:space="preserve">SRs’ motion (kinesics) must be </w:t>
      </w:r>
      <w:r w:rsidDel="00000000" w:rsidR="00000000" w:rsidRPr="00000000">
        <w:rPr>
          <w:rtl w:val="0"/>
        </w:rPr>
        <w:t xml:space="preserve">legible </w:t>
      </w:r>
      <w:r w:rsidDel="00000000" w:rsidR="00000000" w:rsidRPr="00000000">
        <w:rPr>
          <w:rtl w:val="0"/>
        </w:rPr>
        <w:t xml:space="preserve">(Dragan, 2013). For example, the robot’s approaching strategy must be clear to human bystanders (Han, 2024) and users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4"/>
        </w:numPr>
        <w:ind w:left="1440" w:hanging="360"/>
        <w:rPr>
          <w:u w:val="none"/>
        </w:rPr>
      </w:pPr>
      <w:r w:rsidDel="00000000" w:rsidR="00000000" w:rsidRPr="00000000">
        <w:rPr>
          <w:rtl w:val="0"/>
        </w:rPr>
        <w:t xml:space="preserve">SRs’ speed (kinesics) is task dependent and elicits different user responses that impact perceived physical safety and trust factors.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16"/>
        </w:numPr>
        <w:ind w:left="1440" w:hanging="360"/>
        <w:rPr>
          <w:u w:val="none"/>
        </w:rPr>
      </w:pPr>
      <w:r w:rsidDel="00000000" w:rsidR="00000000" w:rsidRPr="00000000">
        <w:rPr>
          <w:rtl w:val="0"/>
        </w:rPr>
        <w:t xml:space="preserve">SRs’ instructions to both bystanders and users must be </w:t>
      </w:r>
      <w:r w:rsidDel="00000000" w:rsidR="00000000" w:rsidRPr="00000000">
        <w:rPr>
          <w:rtl w:val="0"/>
        </w:rPr>
        <w:t xml:space="preserve">comprehensible</w:t>
      </w: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14"/>
        </w:numPr>
        <w:ind w:left="1440" w:hanging="360"/>
        <w:rPr>
          <w:u w:val="none"/>
        </w:rPr>
      </w:pPr>
      <w:r w:rsidDel="00000000" w:rsidR="00000000" w:rsidRPr="00000000">
        <w:rPr>
          <w:rtl w:val="0"/>
        </w:rPr>
        <w:t xml:space="preserve">Algorithmic explainability /transparency [1]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numPr>
          <w:ilvl w:val="0"/>
          <w:numId w:val="9"/>
        </w:numPr>
        <w:ind w:left="720" w:hanging="360"/>
        <w:rPr/>
      </w:pPr>
      <w:bookmarkStart w:colFirst="0" w:colLast="0" w:name="_5nxuytfnis06" w:id="13"/>
      <w:bookmarkEnd w:id="13"/>
      <w:r w:rsidDel="00000000" w:rsidR="00000000" w:rsidRPr="00000000">
        <w:rPr>
          <w:rtl w:val="0"/>
        </w:rPr>
        <w:t xml:space="preserve">Robust: compatible with different users in different environments. Physical or algorithmic adaptation.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7"/>
        </w:numPr>
        <w:ind w:left="1440" w:hanging="360"/>
        <w:rPr>
          <w:u w:val="none"/>
        </w:rPr>
      </w:pPr>
      <w:r w:rsidDel="00000000" w:rsidR="00000000" w:rsidRPr="00000000">
        <w:rPr>
          <w:rtl w:val="0"/>
        </w:rPr>
        <w:t xml:space="preserve">SRs must support interoperability with different assistive technologies (including high- and low-tech devices). For example, Augmentative and Alternative Communication (AAC) (</w:t>
      </w:r>
      <w:hyperlink r:id="rId15">
        <w:r w:rsidDel="00000000" w:rsidR="00000000" w:rsidRPr="00000000">
          <w:rPr>
            <w:color w:val="1155cc"/>
            <w:u w:val="single"/>
            <w:rtl w:val="0"/>
          </w:rPr>
          <w:t xml:space="preserve">American Speech-Language-Hearing Association</w:t>
        </w:r>
      </w:hyperlink>
      <w:r w:rsidDel="00000000" w:rsidR="00000000" w:rsidRPr="00000000">
        <w:rPr>
          <w:rtl w:val="0"/>
        </w:rPr>
        <w:t xml:space="preserve">) devices can include speech-generating devices and text-based interfaces; they also include reading facial expressions (“no-tech” option) [2].</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15"/>
        </w:numPr>
        <w:ind w:left="1440" w:hanging="360"/>
        <w:rPr>
          <w:u w:val="none"/>
        </w:rPr>
      </w:pPr>
      <w:r w:rsidDel="00000000" w:rsidR="00000000" w:rsidRPr="00000000">
        <w:rPr>
          <w:rtl w:val="0"/>
        </w:rPr>
        <w:t xml:space="preserve">SRs must be able to adapt to the physical environment,</w:t>
      </w:r>
      <w:r w:rsidDel="00000000" w:rsidR="00000000" w:rsidRPr="00000000">
        <w:rPr>
          <w:rtl w:val="0"/>
        </w:rPr>
        <w:t xml:space="preserve"> including infrastructure constraints [2]</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15"/>
        </w:numPr>
        <w:ind w:left="1440" w:hanging="360"/>
        <w:rPr>
          <w:u w:val="none"/>
        </w:rPr>
      </w:pPr>
      <w:r w:rsidDel="00000000" w:rsidR="00000000" w:rsidRPr="00000000">
        <w:rPr>
          <w:rtl w:val="0"/>
        </w:rPr>
        <w:t xml:space="preserve">Algorithmically robust [1]</w:t>
      </w:r>
      <w:r w:rsidDel="00000000" w:rsidR="00000000" w:rsidRPr="00000000">
        <w:rPr>
          <w:rtl w:val="0"/>
        </w:rPr>
        <w:t xml:space="preserve">: robot’s behavior is adaptable.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5"/>
        </w:numPr>
        <w:ind w:left="1440" w:hanging="360"/>
      </w:pPr>
      <w:r w:rsidDel="00000000" w:rsidR="00000000" w:rsidRPr="00000000">
        <w:rPr>
          <w:rtl w:val="0"/>
        </w:rPr>
        <w:t xml:space="preserve">Physical accessibility based on robots form factor (i.e., robot’s shape and size)</w:t>
      </w:r>
    </w:p>
    <w:p w:rsidR="00000000" w:rsidDel="00000000" w:rsidP="00000000" w:rsidRDefault="00000000" w:rsidRPr="00000000" w14:paraId="00000068">
      <w:pPr>
        <w:numPr>
          <w:ilvl w:val="1"/>
          <w:numId w:val="5"/>
        </w:numPr>
        <w:ind w:left="2160" w:hanging="360"/>
      </w:pPr>
      <w:r w:rsidDel="00000000" w:rsidR="00000000" w:rsidRPr="00000000">
        <w:rPr>
          <w:rtl w:val="0"/>
        </w:rPr>
        <w:t xml:space="preserve">People with different physical dis/abilities can access the robot. E.g. ADRs have compartments that must be physically accessible to all users. Different wheelchair heights. Thus, robots must be able to adjust.</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15"/>
        </w:numPr>
        <w:ind w:left="1440" w:hanging="360"/>
        <w:rPr>
          <w:u w:val="none"/>
        </w:rPr>
      </w:pPr>
      <w:r w:rsidDel="00000000" w:rsidR="00000000" w:rsidRPr="00000000">
        <w:rPr>
          <w:rtl w:val="0"/>
        </w:rPr>
        <w:t xml:space="preserve">Socially non-obstructive</w:t>
      </w:r>
    </w:p>
    <w:p w:rsidR="00000000" w:rsidDel="00000000" w:rsidP="00000000" w:rsidRDefault="00000000" w:rsidRPr="00000000" w14:paraId="0000006B">
      <w:pPr>
        <w:numPr>
          <w:ilvl w:val="1"/>
          <w:numId w:val="15"/>
        </w:numPr>
        <w:ind w:left="2160" w:hanging="360"/>
        <w:rPr>
          <w:u w:val="none"/>
        </w:rPr>
      </w:pPr>
      <w:r w:rsidDel="00000000" w:rsidR="00000000" w:rsidRPr="00000000">
        <w:rPr>
          <w:rFonts w:ascii="Arial Unicode MS" w:cs="Arial Unicode MS" w:eastAsia="Arial Unicode MS" w:hAnsi="Arial Unicode MS"/>
          <w:rtl w:val="0"/>
        </w:rPr>
        <w:t xml:space="preserve">Social navigation → legibility and socially-</w:t>
      </w:r>
      <w:r w:rsidDel="00000000" w:rsidR="00000000" w:rsidRPr="00000000">
        <w:rPr>
          <w:rtl w:val="0"/>
        </w:rPr>
        <w:t xml:space="preserve">appropriate</w:t>
      </w:r>
      <w:r w:rsidDel="00000000" w:rsidR="00000000" w:rsidRPr="00000000">
        <w:rPr>
          <w:rtl w:val="0"/>
        </w:rPr>
        <w:t xml:space="preserve"> behavior</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1"/>
          <w:numId w:val="5"/>
        </w:numPr>
        <w:ind w:left="2160" w:hanging="360"/>
      </w:pPr>
      <w:r w:rsidDel="00000000" w:rsidR="00000000" w:rsidRPr="00000000">
        <w:rPr>
          <w:rtl w:val="0"/>
        </w:rPr>
        <w:t xml:space="preserve">SR form-factors nor behaviors must not impede people’s mobility.</w:t>
      </w:r>
    </w:p>
    <w:p w:rsidR="00000000" w:rsidDel="00000000" w:rsidP="00000000" w:rsidRDefault="00000000" w:rsidRPr="00000000" w14:paraId="0000006E">
      <w:pPr>
        <w:numPr>
          <w:ilvl w:val="2"/>
          <w:numId w:val="5"/>
        </w:numPr>
        <w:ind w:left="2880" w:hanging="360"/>
      </w:pPr>
      <w:r w:rsidDel="00000000" w:rsidR="00000000" w:rsidRPr="00000000">
        <w:rPr>
          <w:rtl w:val="0"/>
        </w:rPr>
        <w:t xml:space="preserve">Size considerations for sidewalk delivery robots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1"/>
          <w:numId w:val="5"/>
        </w:numPr>
        <w:ind w:left="2160" w:hanging="360"/>
      </w:pPr>
      <w:r w:rsidDel="00000000" w:rsidR="00000000" w:rsidRPr="00000000">
        <w:rPr>
          <w:rtl w:val="0"/>
        </w:rPr>
        <w:t xml:space="preserve">SR planning and decision-making paradigms to ensure socially-appropriate motion (e.g. social conventions such as yielding) for effective social navigation</w:t>
      </w:r>
    </w:p>
    <w:p w:rsidR="00000000" w:rsidDel="00000000" w:rsidP="00000000" w:rsidRDefault="00000000" w:rsidRPr="00000000" w14:paraId="00000071">
      <w:pPr>
        <w:numPr>
          <w:ilvl w:val="2"/>
          <w:numId w:val="5"/>
        </w:numPr>
        <w:ind w:left="2880" w:hanging="360"/>
      </w:pPr>
      <w:r w:rsidDel="00000000" w:rsidR="00000000" w:rsidRPr="00000000">
        <w:rPr>
          <w:rtl w:val="0"/>
        </w:rPr>
        <w:t xml:space="preserve">SOTA approaches</w:t>
      </w:r>
    </w:p>
    <w:p w:rsidR="00000000" w:rsidDel="00000000" w:rsidP="00000000" w:rsidRDefault="00000000" w:rsidRPr="00000000" w14:paraId="00000072">
      <w:pPr>
        <w:numPr>
          <w:ilvl w:val="3"/>
          <w:numId w:val="5"/>
        </w:numPr>
        <w:ind w:left="3600" w:hanging="360"/>
      </w:pPr>
      <w:r w:rsidDel="00000000" w:rsidR="00000000" w:rsidRPr="00000000">
        <w:rPr>
          <w:rtl w:val="0"/>
        </w:rPr>
        <w:t xml:space="preserve">Deep RL [4]</w:t>
      </w:r>
    </w:p>
    <w:p w:rsidR="00000000" w:rsidDel="00000000" w:rsidP="00000000" w:rsidRDefault="00000000" w:rsidRPr="00000000" w14:paraId="00000073">
      <w:pPr>
        <w:numPr>
          <w:ilvl w:val="3"/>
          <w:numId w:val="5"/>
        </w:numPr>
        <w:ind w:left="3600" w:hanging="360"/>
      </w:pPr>
      <w:r w:rsidDel="00000000" w:rsidR="00000000" w:rsidRPr="00000000">
        <w:rPr>
          <w:rtl w:val="0"/>
        </w:rPr>
        <w:t xml:space="preserve">Hierachal RL</w:t>
      </w:r>
    </w:p>
    <w:p w:rsidR="00000000" w:rsidDel="00000000" w:rsidP="00000000" w:rsidRDefault="00000000" w:rsidRPr="00000000" w14:paraId="00000074">
      <w:pPr>
        <w:numPr>
          <w:ilvl w:val="3"/>
          <w:numId w:val="5"/>
        </w:numPr>
        <w:ind w:left="3600" w:hanging="360"/>
      </w:pPr>
      <w:r w:rsidDel="00000000" w:rsidR="00000000" w:rsidRPr="00000000">
        <w:rPr>
          <w:rtl w:val="0"/>
        </w:rPr>
        <w:t xml:space="preserve">MPC</w:t>
      </w:r>
    </w:p>
    <w:p w:rsidR="00000000" w:rsidDel="00000000" w:rsidP="00000000" w:rsidRDefault="00000000" w:rsidRPr="00000000" w14:paraId="00000075">
      <w:pPr>
        <w:numPr>
          <w:ilvl w:val="3"/>
          <w:numId w:val="5"/>
        </w:numPr>
        <w:ind w:left="3600" w:hanging="360"/>
      </w:pPr>
      <w:r w:rsidDel="00000000" w:rsidR="00000000" w:rsidRPr="00000000">
        <w:rPr>
          <w:rtl w:val="0"/>
        </w:rPr>
        <w:t xml:space="preserve">VLMs [5]</w:t>
      </w:r>
      <w:r w:rsidDel="00000000" w:rsidR="00000000" w:rsidRPr="00000000">
        <w:rPr>
          <w:rtl w:val="0"/>
        </w:rPr>
      </w:r>
    </w:p>
    <w:p w:rsidR="00000000" w:rsidDel="00000000" w:rsidP="00000000" w:rsidRDefault="00000000" w:rsidRPr="00000000" w14:paraId="00000076">
      <w:pPr>
        <w:numPr>
          <w:ilvl w:val="0"/>
          <w:numId w:val="5"/>
        </w:numPr>
        <w:ind w:left="1440" w:hanging="360"/>
        <w:rPr>
          <w:u w:val="none"/>
        </w:rPr>
      </w:pPr>
      <w:r w:rsidDel="00000000" w:rsidR="00000000" w:rsidRPr="00000000">
        <w:rPr>
          <w:rtl w:val="0"/>
        </w:rPr>
        <w:t xml:space="preserve">non-obstruction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numPr>
          <w:ilvl w:val="0"/>
          <w:numId w:val="9"/>
        </w:numPr>
        <w:ind w:left="720" w:hanging="360"/>
        <w:rPr/>
      </w:pPr>
      <w:bookmarkStart w:colFirst="0" w:colLast="0" w:name="_ac2gc2vra2a9" w:id="14"/>
      <w:bookmarkEnd w:id="14"/>
      <w:r w:rsidDel="00000000" w:rsidR="00000000" w:rsidRPr="00000000">
        <w:rPr>
          <w:rtl w:val="0"/>
        </w:rPr>
        <w:t xml:space="preserve">Spatially non-obstructive </w:t>
      </w: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firstLine="72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bookmarkStart w:colFirst="0" w:colLast="0" w:name="_fh0ulzjebloh" w:id="15"/>
      <w:bookmarkEnd w:id="15"/>
      <w:r w:rsidDel="00000000" w:rsidR="00000000" w:rsidRPr="00000000">
        <w:rPr>
          <w:rtl w:val="0"/>
        </w:rPr>
        <w:t xml:space="preserve">References</w:t>
      </w:r>
    </w:p>
    <w:p w:rsidR="00000000" w:rsidDel="00000000" w:rsidP="00000000" w:rsidRDefault="00000000" w:rsidRPr="00000000" w14:paraId="00000082">
      <w:pPr>
        <w:rPr/>
      </w:pPr>
      <w:r w:rsidDel="00000000" w:rsidR="00000000" w:rsidRPr="00000000">
        <w:rPr>
          <w:rtl w:val="0"/>
        </w:rPr>
        <w:t xml:space="preserve">[1] (</w:t>
      </w:r>
      <w:hyperlink r:id="rId16">
        <w:r w:rsidDel="00000000" w:rsidR="00000000" w:rsidRPr="00000000">
          <w:rPr>
            <w:color w:val="1155cc"/>
            <w:u w:val="single"/>
            <w:rtl w:val="0"/>
          </w:rPr>
          <w:t xml:space="preserve">Shih &amp; Boadi-Agyemang, 2025</w:t>
        </w:r>
      </w:hyperlink>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[2] (</w:t>
      </w:r>
      <w:hyperlink r:id="rId17">
        <w:r w:rsidDel="00000000" w:rsidR="00000000" w:rsidRPr="00000000">
          <w:rPr>
            <w:color w:val="1155cc"/>
            <w:u w:val="single"/>
            <w:rtl w:val="0"/>
          </w:rPr>
          <w:t xml:space="preserve">Boadi-Agyemang, 2026</w:t>
        </w:r>
      </w:hyperlink>
      <w:r w:rsidDel="00000000" w:rsidR="00000000" w:rsidRPr="00000000">
        <w:rPr>
          <w:rtl w:val="0"/>
        </w:rPr>
        <w:t xml:space="preserve">)</w:t>
      </w:r>
    </w:p>
    <w:p w:rsidR="00000000" w:rsidDel="00000000" w:rsidP="00000000" w:rsidRDefault="00000000" w:rsidRPr="00000000" w14:paraId="00000084">
      <w:pPr>
        <w:rPr>
          <w:sz w:val="20"/>
          <w:szCs w:val="20"/>
        </w:rPr>
      </w:pPr>
      <w:r w:rsidDel="00000000" w:rsidR="00000000" w:rsidRPr="00000000">
        <w:rPr>
          <w:rtl w:val="0"/>
        </w:rPr>
        <w:t xml:space="preserve">[3] </w:t>
      </w:r>
      <w:r w:rsidDel="00000000" w:rsidR="00000000" w:rsidRPr="00000000">
        <w:rPr>
          <w:sz w:val="20"/>
          <w:szCs w:val="20"/>
          <w:rtl w:val="0"/>
        </w:rPr>
        <w:t xml:space="preserve"> (</w:t>
      </w:r>
      <w:hyperlink r:id="rId18">
        <w:r w:rsidDel="00000000" w:rsidR="00000000" w:rsidRPr="00000000">
          <w:rPr>
            <w:color w:val="1155cc"/>
            <w:sz w:val="20"/>
            <w:szCs w:val="20"/>
            <w:u w:val="single"/>
            <w:rtl w:val="0"/>
          </w:rPr>
          <w:t xml:space="preserve">Dragan, 2013</w:t>
        </w:r>
      </w:hyperlink>
      <w:r w:rsidDel="00000000" w:rsidR="00000000" w:rsidRPr="00000000">
        <w:rPr>
          <w:sz w:val="20"/>
          <w:szCs w:val="20"/>
          <w:rtl w:val="0"/>
        </w:rPr>
        <w:t xml:space="preserve">)</w:t>
      </w:r>
    </w:p>
    <w:p w:rsidR="00000000" w:rsidDel="00000000" w:rsidP="00000000" w:rsidRDefault="00000000" w:rsidRPr="00000000" w14:paraId="00000085">
      <w:pPr>
        <w:rPr/>
      </w:pPr>
      <w:r w:rsidDel="00000000" w:rsidR="00000000" w:rsidRPr="00000000">
        <w:rPr>
          <w:sz w:val="20"/>
          <w:szCs w:val="20"/>
          <w:rtl w:val="0"/>
        </w:rPr>
        <w:t xml:space="preserve">[4] </w:t>
      </w:r>
      <w:r w:rsidDel="00000000" w:rsidR="00000000" w:rsidRPr="00000000">
        <w:rPr>
          <w:rtl w:val="0"/>
        </w:rPr>
        <w:t xml:space="preserve">(</w:t>
      </w:r>
      <w:hyperlink r:id="rId19">
        <w:r w:rsidDel="00000000" w:rsidR="00000000" w:rsidRPr="00000000">
          <w:rPr>
            <w:color w:val="1155cc"/>
            <w:u w:val="single"/>
            <w:rtl w:val="0"/>
          </w:rPr>
          <w:t xml:space="preserve">Montero, 2026</w:t>
        </w:r>
      </w:hyperlink>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 xml:space="preserve">[5]  (</w:t>
      </w:r>
      <w:hyperlink r:id="rId20">
        <w:r w:rsidDel="00000000" w:rsidR="00000000" w:rsidRPr="00000000">
          <w:rPr>
            <w:color w:val="1155cc"/>
            <w:u w:val="single"/>
            <w:rtl w:val="0"/>
          </w:rPr>
          <w:t xml:space="preserve">Song, 2024</w:t>
        </w:r>
      </w:hyperlink>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[6] (</w:t>
      </w:r>
      <w:hyperlink r:id="rId21">
        <w:r w:rsidDel="00000000" w:rsidR="00000000" w:rsidRPr="00000000">
          <w:rPr>
            <w:color w:val="1155cc"/>
            <w:u w:val="single"/>
            <w:rtl w:val="0"/>
          </w:rPr>
          <w:t xml:space="preserve">Han, 2024</w:t>
        </w:r>
      </w:hyperlink>
      <w:r w:rsidDel="00000000" w:rsidR="00000000" w:rsidRPr="00000000">
        <w:rPr>
          <w:rtl w:val="0"/>
        </w:rPr>
        <w:t xml:space="preserve">)</w:t>
      </w:r>
    </w:p>
    <w:sectPr>
      <w:headerReference r:id="rId22" w:type="default"/>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Legibility means an agent “</w:t>
      </w:r>
      <w:r w:rsidDel="00000000" w:rsidR="00000000" w:rsidRPr="00000000">
        <w:rPr>
          <w:sz w:val="20"/>
          <w:szCs w:val="20"/>
          <w:rtl w:val="0"/>
        </w:rPr>
        <w:t xml:space="preserve">mak</w:t>
      </w:r>
      <w:r w:rsidDel="00000000" w:rsidR="00000000" w:rsidRPr="00000000">
        <w:rPr>
          <w:sz w:val="20"/>
          <w:szCs w:val="20"/>
          <w:rtl w:val="0"/>
        </w:rPr>
        <w:t xml:space="preserve">[ing] their own intentions clear” [3] – which is a precondition for successful human-robot collaboration.</w:t>
      </w:r>
    </w:p>
  </w:footnote>
  <w:footnote w:id="1">
    <w:p w:rsidR="00000000" w:rsidDel="00000000" w:rsidP="00000000" w:rsidRDefault="00000000" w:rsidRPr="00000000" w14:paraId="0000008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According to ISO, </w:t>
      </w:r>
      <w:r w:rsidDel="00000000" w:rsidR="00000000" w:rsidRPr="00000000">
        <w:rPr>
          <w:sz w:val="20"/>
          <w:szCs w:val="20"/>
          <w:highlight w:val="white"/>
          <w:rtl w:val="0"/>
        </w:rPr>
        <w:t xml:space="preserve">medical robots (i.e., robots used as “medical electrical equipment" or "systems"  are not regarded as an </w:t>
      </w:r>
      <w:hyperlink r:id="rId1">
        <w:r w:rsidDel="00000000" w:rsidR="00000000" w:rsidRPr="00000000">
          <w:rPr>
            <w:i w:val="1"/>
            <w:iCs w:val="1"/>
            <w:sz w:val="20"/>
            <w:szCs w:val="20"/>
            <w:highlight w:val="white"/>
            <w:rtl w:val="0"/>
          </w:rPr>
          <w:t xml:space="preserve">industrial robot </w:t>
        </w:r>
      </w:hyperlink>
      <w:hyperlink r:id="rId2">
        <w:r w:rsidDel="00000000" w:rsidR="00000000" w:rsidRPr="00000000">
          <w:rPr>
            <w:sz w:val="20"/>
            <w:szCs w:val="20"/>
            <w:highlight w:val="white"/>
            <w:rtl w:val="0"/>
          </w:rPr>
          <w:t xml:space="preserve">(3.6)</w:t>
        </w:r>
      </w:hyperlink>
      <w:r w:rsidDel="00000000" w:rsidR="00000000" w:rsidRPr="00000000">
        <w:rPr>
          <w:sz w:val="20"/>
          <w:szCs w:val="20"/>
          <w:highlight w:val="white"/>
          <w:rtl w:val="0"/>
        </w:rPr>
        <w:t xml:space="preserve"> or a </w:t>
      </w:r>
      <w:hyperlink r:id="rId3">
        <w:r w:rsidDel="00000000" w:rsidR="00000000" w:rsidRPr="00000000">
          <w:rPr>
            <w:i w:val="1"/>
            <w:iCs w:val="1"/>
            <w:sz w:val="20"/>
            <w:szCs w:val="20"/>
            <w:highlight w:val="white"/>
            <w:rtl w:val="0"/>
          </w:rPr>
          <w:t xml:space="preserve">service robot </w:t>
        </w:r>
      </w:hyperlink>
      <w:hyperlink r:id="rId4">
        <w:r w:rsidDel="00000000" w:rsidR="00000000" w:rsidRPr="00000000">
          <w:rPr>
            <w:sz w:val="20"/>
            <w:szCs w:val="20"/>
            <w:highlight w:val="white"/>
            <w:rtl w:val="0"/>
          </w:rPr>
          <w:t xml:space="preserve">(3.7)</w:t>
        </w:r>
      </w:hyperlink>
      <w:r w:rsidDel="00000000" w:rsidR="00000000" w:rsidRPr="00000000">
        <w:rPr>
          <w:sz w:val="20"/>
          <w:szCs w:val="20"/>
          <w:highlight w:val="white"/>
          <w:rtl w:val="0"/>
        </w:rPr>
        <w:t xml:space="preserv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720" w:hanging="360"/>
    </w:pPr>
    <w:rPr>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html/2404.00210v1#:~:text=Various%20methodologies%20are%20employed%20to,contextual%20information%20of%20the%20environment." TargetMode="External"/><Relationship Id="rId11" Type="http://schemas.openxmlformats.org/officeDocument/2006/relationships/hyperlink" Target="https://www.iso.org/obp/ui/#iso:std:iso:8373:ed-3:v1:en" TargetMode="External"/><Relationship Id="rId22" Type="http://schemas.openxmlformats.org/officeDocument/2006/relationships/header" Target="header1.xml"/><Relationship Id="rId10" Type="http://schemas.openxmlformats.org/officeDocument/2006/relationships/hyperlink" Target="https://d1wqtxts1xzle7.cloudfront.net/32344952/Davis_Reader_social_model-libre.pdf?1391626454=&amp;response-content-disposition=inline%3B+filename%3DThe_social_model_of_disability.pdf&amp;Expires=1756751278&amp;Signature=aqI4XmCQQl44Kj9NMl32W7eiWRUHnsaUz7a4GFgkeWoxDN4tlp5cbyo9pFK~kBvXfNHQlqrIKOKB6kN3-uKL2Ztrm3CagunvJhW5N7wEbKLfkM6otjy0Hazsv9-zkfLMywL1EUVKZk8e0gH8XI7bQ11aXC9kZiqUggzYzG-S4KDgokxkmLg60GnkTbQagyBfRC1JOwYtK7nGVs21CwaLgrfvIlOZrGbgpGXYqBfLKXdJMz8lZAJ0TBDOHT5BVDirm87UO1GKIL-Fj2Zs6~f68YAYLu-J9tg8TQ4M6zEvrbfHjGrniUA3diB6AZJG21duPOZQqy5UlaM-cWGgY4zuLg__&amp;Key-Pair-Id=APKAJLOHF5GGSLRBV4ZA" TargetMode="External"/><Relationship Id="rId21" Type="http://schemas.openxmlformats.org/officeDocument/2006/relationships/hyperlink" Target="https://dl.acm.org/doi/pdf/10.1145/3613904.3642875" TargetMode="External"/><Relationship Id="rId13" Type="http://schemas.openxmlformats.org/officeDocument/2006/relationships/hyperlink" Target="https://www.automate.org/robotics/service-robots/what-are-professional-service-robots" TargetMode="External"/><Relationship Id="rId12" Type="http://schemas.openxmlformats.org/officeDocument/2006/relationships/hyperlink" Target="https://www.iso.org/obp/ui/#iso:std:iso:8373:ed-3:v1:en"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l.acm.org/doi/abs/10.1145/1878803.1878807" TargetMode="External"/><Relationship Id="rId15" Type="http://schemas.openxmlformats.org/officeDocument/2006/relationships/hyperlink" Target="https://www.asha.org/public/speech/disorders/aac/?srsltid=AfmBOooB1h-DzxFttxCHK8Urmq9x-tqW3Io9TNjl9EzdPBI1a55GNjDm" TargetMode="External"/><Relationship Id="rId14" Type="http://schemas.openxmlformats.org/officeDocument/2006/relationships/hyperlink" Target="https://www.jstor.org/stable/pdf/42659890.pdf" TargetMode="External"/><Relationship Id="rId17" Type="http://schemas.openxmlformats.org/officeDocument/2006/relationships/hyperlink" Target="https://dl.acm.org/doi/pdf/10.1145/3757279.3785567" TargetMode="External"/><Relationship Id="rId16" Type="http://schemas.openxmlformats.org/officeDocument/2006/relationships/hyperlink" Target="https://dl.acm.org/doi/pdf/10.1145/3750054" TargetMode="External"/><Relationship Id="rId5" Type="http://schemas.openxmlformats.org/officeDocument/2006/relationships/numbering" Target="numbering.xml"/><Relationship Id="rId19" Type="http://schemas.openxmlformats.org/officeDocument/2006/relationships/hyperlink" Target="https://www.nature.com/articles/s41598-026-42026-9#:~:text=However%2C%20the%20inherent%20stochasticity%20and,presence%20of%20dynamic%20human%20movements." TargetMode="External"/><Relationship Id="rId6" Type="http://schemas.openxmlformats.org/officeDocument/2006/relationships/styles" Target="styles.xml"/><Relationship Id="rId18" Type="http://schemas.openxmlformats.org/officeDocument/2006/relationships/hyperlink" Target="https://publications.ri.cmu.edu/storage/publications/pub_files/2013/3/legiilitypredictabilityIEEE.pdf#:~:text=The%20difference%20between%20legibility%20and%20predictability%20of,particular%20for%20collaboration%20between%20humans%20and%20robots" TargetMode="External"/><Relationship Id="rId7" Type="http://schemas.openxmlformats.org/officeDocument/2006/relationships/hyperlink" Target="https://www.w3.org/WAI/fundamentals/accessibility-principles/" TargetMode="External"/><Relationship Id="rId8" Type="http://schemas.openxmlformats.org/officeDocument/2006/relationships/hyperlink" Target="https://www.jstor.org/stable/48671434?seq=3"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so.org/obp/ui/#iso:std:iso:8373:ed-3:v1:en:term:3.6" TargetMode="External"/><Relationship Id="rId2" Type="http://schemas.openxmlformats.org/officeDocument/2006/relationships/hyperlink" Target="https://www.iso.org/obp/ui/#iso:std:iso:8373:ed-3:v1:en:term:3.6" TargetMode="External"/><Relationship Id="rId3" Type="http://schemas.openxmlformats.org/officeDocument/2006/relationships/hyperlink" Target="https://www.iso.org/obp/ui/#iso:std:iso:8373:ed-3:v1:en:term:3.7" TargetMode="External"/><Relationship Id="rId4" Type="http://schemas.openxmlformats.org/officeDocument/2006/relationships/hyperlink" Target="https://www.iso.org/obp/ui/#iso:std:iso:8373:ed-3:v1:en:term: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