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20" w:lineRule="auto"/>
        <w:jc w:val="left"/>
      </w:pPr>
      <w:r>
        <w:drawing>
          <wp:inline xmlns:a="http://schemas.openxmlformats.org/drawingml/2006/main" xmlns:pic="http://schemas.openxmlformats.org/drawingml/2006/picture">
            <wp:extent cx="1234440" cy="462310"/>
            <wp:docPr id="1" name="Picture 1"/>
            <wp:cNvGraphicFramePr>
              <a:graphicFrameLocks noChangeAspect="1"/>
            </wp:cNvGraphicFramePr>
            <a:graphic>
              <a:graphicData uri="http://schemas.openxmlformats.org/drawingml/2006/picture">
                <pic:pic>
                  <pic:nvPicPr>
                    <pic:cNvPr id="0" name="wafir-logo.jpg"/>
                    <pic:cNvPicPr/>
                  </pic:nvPicPr>
                  <pic:blipFill>
                    <a:blip r:embed="rId9"/>
                    <a:stretch>
                      <a:fillRect/>
                    </a:stretch>
                  </pic:blipFill>
                  <pic:spPr>
                    <a:xfrm>
                      <a:off x="0" y="0"/>
                      <a:ext cx="1234440" cy="462310"/>
                    </a:xfrm>
                    <a:prstGeom prst="rect"/>
                  </pic:spPr>
                </pic:pic>
              </a:graphicData>
            </a:graphic>
          </wp:inline>
        </w:drawing>
      </w:r>
    </w:p>
    <w:p>
      <w:pPr>
        <w:spacing w:after="40" w:before="0" w:line="220" w:lineRule="auto"/>
      </w:pPr>
      <w:r>
        <w:rPr>
          <w:rFonts w:ascii="Calibri" w:hAnsi="Calibri" w:cs="IBM Plex Sans Arabic" w:eastAsia="Calibri"/>
          <w:b/>
          <w:color w:val="0F172A"/>
          <w:sz w:val="28"/>
        </w:rPr>
        <w:t>Wafir — Technical Report (AI Readiness Hackathon – KSA)</w:t>
      </w:r>
    </w:p>
    <w:p>
      <w:pPr>
        <w:spacing w:after="20" w:before="0" w:line="220" w:lineRule="auto"/>
      </w:pPr>
      <w:r>
        <w:rPr>
          <w:rFonts w:ascii="Calibri" w:hAnsi="Calibri" w:cs="IBM Plex Sans Arabic" w:eastAsia="Calibri"/>
          <w:b/>
          <w:color w:val="0F172A"/>
          <w:sz w:val="18"/>
        </w:rPr>
        <w:t xml:space="preserve">Team name: </w:t>
      </w:r>
      <w:r>
        <w:rPr>
          <w:rFonts w:ascii="Calibri" w:hAnsi="Calibri" w:cs="IBM Plex Sans Arabic" w:eastAsia="Calibri"/>
          <w:b w:val="0"/>
          <w:color w:val="0F172A"/>
          <w:sz w:val="18"/>
        </w:rPr>
        <w:t>wafir team</w:t>
      </w:r>
    </w:p>
    <w:p>
      <w:pPr>
        <w:spacing w:after="20" w:before="0" w:line="220" w:lineRule="auto"/>
      </w:pPr>
      <w:r>
        <w:rPr>
          <w:rFonts w:ascii="Calibri" w:hAnsi="Calibri" w:cs="IBM Plex Sans Arabic" w:eastAsia="Calibri"/>
          <w:b/>
          <w:color w:val="0F172A"/>
          <w:sz w:val="18"/>
        </w:rPr>
        <w:t xml:space="preserve">Track: </w:t>
      </w:r>
      <w:r>
        <w:rPr>
          <w:rFonts w:ascii="Calibri" w:hAnsi="Calibri" w:cs="IBM Plex Sans Arabic" w:eastAsia="Calibri"/>
          <w:b w:val="0"/>
          <w:color w:val="0F172A"/>
          <w:sz w:val="18"/>
        </w:rPr>
        <w:t>Finance (household energy budgeting / FinTech)</w:t>
      </w:r>
    </w:p>
    <w:p>
      <w:pPr>
        <w:spacing w:after="20" w:before="0" w:line="220" w:lineRule="auto"/>
      </w:pPr>
      <w:r>
        <w:rPr>
          <w:rFonts w:ascii="Calibri" w:hAnsi="Calibri" w:cs="IBM Plex Sans Arabic" w:eastAsia="Calibri"/>
          <w:b/>
          <w:color w:val="0F172A"/>
          <w:sz w:val="18"/>
        </w:rPr>
        <w:t xml:space="preserve">Solution name: </w:t>
      </w:r>
      <w:r>
        <w:rPr>
          <w:rFonts w:ascii="Calibri" w:hAnsi="Calibri" w:cs="IBM Plex Sans Arabic" w:eastAsia="Calibri"/>
          <w:b w:val="0"/>
          <w:color w:val="0F172A"/>
          <w:sz w:val="18"/>
        </w:rPr>
        <w:t>Wafir — Proactive Bill Prediction and Budget Planning</w:t>
      </w:r>
    </w:p>
    <w:p>
      <w:pPr>
        <w:spacing w:after="20" w:before="0" w:line="220" w:lineRule="auto"/>
      </w:pPr>
      <w:r>
        <w:rPr>
          <w:rFonts w:ascii="Calibri" w:hAnsi="Calibri" w:cs="IBM Plex Sans Arabic" w:eastAsia="Calibri"/>
          <w:b/>
          <w:color w:val="0F172A"/>
          <w:sz w:val="18"/>
        </w:rPr>
        <w:t xml:space="preserve">Contact / Org: </w:t>
      </w:r>
      <w:r>
        <w:rPr>
          <w:rFonts w:ascii="Calibri" w:hAnsi="Calibri" w:cs="IBM Plex Sans Arabic" w:eastAsia="Calibri"/>
          <w:b w:val="0"/>
          <w:color w:val="0F172A"/>
          <w:sz w:val="18"/>
        </w:rPr>
        <w:t>King Faisal University — Budget Planning</w:t>
      </w:r>
    </w:p>
    <w:p>
      <w:pPr>
        <w:spacing w:after="20" w:before="0" w:line="220" w:lineRule="auto"/>
      </w:pPr>
      <w:r>
        <w:rPr>
          <w:rFonts w:ascii="Calibri" w:hAnsi="Calibri" w:cs="IBM Plex Sans Arabic" w:eastAsia="Calibri"/>
          <w:b/>
          <w:color w:val="0F172A"/>
          <w:sz w:val="18"/>
        </w:rPr>
        <w:t xml:space="preserve">Designation: </w:t>
      </w:r>
      <w:r>
        <w:rPr>
          <w:rFonts w:ascii="Calibri" w:hAnsi="Calibri" w:cs="IBM Plex Sans Arabic" w:eastAsia="Calibri"/>
          <w:b w:val="0"/>
          <w:color w:val="0F172A"/>
          <w:sz w:val="18"/>
        </w:rPr>
        <w:t>Students</w:t>
      </w:r>
    </w:p>
    <w:p>
      <w:pPr>
        <w:spacing w:after="60" w:before="0" w:line="220" w:lineRule="auto"/>
      </w:pPr>
      <w:r>
        <w:rPr>
          <w:rFonts w:ascii="Calibri" w:hAnsi="Calibri" w:cs="IBM Plex Sans Arabic" w:eastAsia="Calibri"/>
          <w:b w:val="0"/>
          <w:color w:val="0F172A"/>
          <w:sz w:val="17"/>
        </w:rPr>
        <w:t>Team Members. Mohammed Nadher Aboalrejal — Mentor — aboalrejal.ai@gmail.com — Technical Lead, System Architect, Technical Report Author. Fatima Alsultan (KFU, Chemical Engineering, 2nd Year) — fatima.alsultan2105@gmail.com — Document research, concept ideation, policy gap analysis, report structuring. Shahad Alsultan (KFU, Civil Engineering, 2nd Year) — shahadalsultan2026@outlook.com — Video production, report drafting. Jorry Alfalah (KFU, Electrical Engineering, 2nd Year) — Jurryraed90@hotmail.com — App UI design, logo. Noor Alshammari (KFU, Chemical Engineering, 2nd Year) — noornaser.sh1@gmail.com — App UI templates, logo.</w:t>
      </w:r>
    </w:p>
    <w:p>
      <w:pPr>
        <w:spacing w:after="40" w:before="0" w:line="220" w:lineRule="auto"/>
      </w:pPr>
      <w:r>
        <w:rPr>
          <w:rFonts w:ascii="Calibri" w:hAnsi="Calibri" w:cs="IBM Plex Sans Arabic" w:eastAsia="Calibri"/>
          <w:b w:val="0"/>
          <w:color w:val="475569"/>
          <w:sz w:val="17"/>
        </w:rPr>
        <w:t>Cap: ≤5 pages. Demo telemetry is synthetic (hackathon use only); Knowledge Base documents are authentic public sources. This report describes only capabilities present in the repository (demo path + optional Supabase). Limitations are stated explicitly.</w:t>
      </w:r>
    </w:p>
    <w:p>
      <w:pPr>
        <w:spacing w:after="40" w:before="0" w:line="220" w:lineRule="auto"/>
      </w:pPr>
      <w:r>
        <w:rPr>
          <w:rFonts w:ascii="Calibri" w:hAnsi="Calibri" w:cs="IBM Plex Sans Arabic" w:eastAsia="Calibri"/>
          <w:b w:val="0"/>
          <w:color w:val="0F172A"/>
          <w:sz w:val="18"/>
        </w:rPr>
        <w:t xml:space="preserve">Project resources. Live Demo: </w:t>
      </w:r>
      <w:hyperlink r:id="rId10">
        <w:r>
          <w:rPr>
            <w:color w:val="0F766E"/>
            <w:u w:val="single"/>
            <w:sz w:val="18"/>
            <w:szCs w:val="18"/>
          </w:rPr>
          <w:t xml:space="preserve">https://wafier.aboalrejal.com/</w:t>
        </w:r>
      </w:hyperlink>
      <w:r>
        <w:rPr>
          <w:rFonts w:ascii="Calibri" w:hAnsi="Calibri" w:cs="IBM Plex Sans Arabic" w:eastAsia="Calibri"/>
          <w:b w:val="0"/>
          <w:color w:val="0F172A"/>
          <w:sz w:val="18"/>
        </w:rPr>
        <w:t xml:space="preserve">  ·  GitHub: </w:t>
      </w:r>
      <w:hyperlink r:id="rId11">
        <w:r>
          <w:rPr>
            <w:color w:val="0F766E"/>
            <w:u w:val="single"/>
            <w:sz w:val="18"/>
            <w:szCs w:val="18"/>
          </w:rPr>
          <w:t xml:space="preserve">https://github.com/aboalrejal-ai/wafier</w:t>
        </w:r>
      </w:hyperlink>
      <w:r>
        <w:rPr>
          <w:rFonts w:ascii="Calibri" w:hAnsi="Calibri" w:cs="IBM Plex Sans Arabic" w:eastAsia="Calibri"/>
          <w:b w:val="0"/>
          <w:color w:val="0F172A"/>
          <w:sz w:val="18"/>
        </w:rPr>
        <w:t xml:space="preserve">  ·  Demo video: </w:t>
      </w:r>
      <w:hyperlink r:id="rId12">
        <w:r>
          <w:rPr>
            <w:color w:val="0F766E"/>
            <w:u w:val="single"/>
            <w:sz w:val="18"/>
            <w:szCs w:val="18"/>
          </w:rPr>
          <w:t xml:space="preserve">https://www.youtube.com/watch?v=bRYwjbxs9t4</w:t>
        </w:r>
      </w:hyperlink>
    </w:p>
    <w:p>
      <w:pPr>
        <w:spacing w:after="60" w:before="120" w:line="220" w:lineRule="auto"/>
      </w:pPr>
      <w:r>
        <w:rPr>
          <w:rFonts w:ascii="Calibri" w:hAnsi="Calibri" w:cs="IBM Plex Sans Arabic" w:eastAsia="Calibri"/>
          <w:b/>
          <w:color w:val="0F766E"/>
          <w:sz w:val="24"/>
        </w:rPr>
        <w:t>1. Introduction</w:t>
      </w:r>
    </w:p>
    <w:p>
      <w:pPr>
        <w:spacing w:after="60" w:before="0" w:line="220" w:lineRule="auto"/>
      </w:pPr>
      <w:r>
        <w:rPr>
          <w:rFonts w:ascii="Calibri" w:hAnsi="Calibri" w:cs="IBM Plex Sans Arabic" w:eastAsia="Calibri"/>
          <w:b w:val="0"/>
          <w:color w:val="0F172A"/>
          <w:sz w:val="20"/>
        </w:rPr>
        <w:t>Households in Saudi Arabia often discover electricity overspend only when the monthly bill arrives. Peak summer cooling makes this worse. Wafir is an Arabic RTL personal FinTech app that forecasts end-of-month SAR spend from simulated meter-like kWh plus weather context, compares the forecast to a user budget, and raises graduated alerts.</w:t>
      </w:r>
    </w:p>
    <w:p>
      <w:pPr>
        <w:spacing w:after="60" w:before="0" w:line="220" w:lineRule="auto"/>
      </w:pPr>
      <w:r>
        <w:rPr>
          <w:rFonts w:ascii="Calibri" w:hAnsi="Calibri" w:cs="IBM Plex Sans Arabic" w:eastAsia="Calibri"/>
          <w:b w:val="0"/>
          <w:color w:val="0F172A"/>
          <w:sz w:val="20"/>
        </w:rPr>
        <w:t>The pipeline follows ITU-T Y.3172 (SRC → C → PP → M → P → D → SINK, plus Sandbox). Policy grounding uses a verified Knowledge Base of Saudi and ITU public sources (knowledge-base.json, 42 VERIFIED records + 1 ISO benchmark), compiled from three independent deep-research passes in docs/research/. Framework names follow ITU AI Readiness Report 2.0 (kb/framework/dimensions.json).</w:t>
      </w:r>
    </w:p>
    <w:p>
      <w:pPr>
        <w:spacing w:after="60" w:before="0" w:line="220" w:lineRule="auto"/>
      </w:pPr>
      <w:r>
        <w:rPr>
          <w:rFonts w:ascii="Calibri" w:hAnsi="Calibri" w:cs="IBM Plex Sans Arabic" w:eastAsia="Calibri"/>
          <w:b w:val="0"/>
          <w:color w:val="0F172A"/>
          <w:sz w:val="20"/>
        </w:rPr>
        <w:t>Honest limit: meter ingest is simulated; the forecast is rule-based seasonal projection, not a trained neural model.</w:t>
      </w:r>
    </w:p>
    <w:p>
      <w:pPr>
        <w:spacing w:after="60" w:before="120" w:line="220" w:lineRule="auto"/>
      </w:pPr>
      <w:r>
        <w:rPr>
          <w:rFonts w:ascii="Calibri" w:hAnsi="Calibri" w:cs="IBM Plex Sans Arabic" w:eastAsia="Calibri"/>
          <w:b/>
          <w:color w:val="0F766E"/>
          <w:sz w:val="24"/>
        </w:rPr>
        <w:t>2. Use case and gaps in existing solutions</w:t>
      </w:r>
    </w:p>
    <w:p>
      <w:pPr>
        <w:spacing w:after="60" w:before="0" w:line="220" w:lineRule="auto"/>
      </w:pPr>
      <w:r>
        <w:rPr>
          <w:rFonts w:ascii="Calibri" w:hAnsi="Calibri" w:cs="IBM Plex Sans Arabic" w:eastAsia="Calibri"/>
          <w:b w:val="0"/>
          <w:color w:val="0F172A"/>
          <w:sz w:val="20"/>
        </w:rPr>
        <w:t>Problem. Families lack proactive, explainable energy-budget control tied to local tariffs and heatwaves. Beneficiaries: Saudi households managing a monthly electricity budget; secondary value for energy/privacy policy readers via the gap matrix.</w:t>
      </w:r>
    </w:p>
    <w:tbl>
      <w:tblPr>
        <w:tblW w:type="auto" w:w="0"/>
        <w:tblLayout w:type="fixed"/>
        <w:tblLook w:firstColumn="1" w:firstRow="1" w:lastColumn="0" w:lastRow="0" w:noHBand="0" w:noVBand="1" w:val="04A0"/>
      </w:tblPr>
      <w:tblGrid>
        <w:gridCol w:w="5112"/>
        <w:gridCol w:w="5112"/>
      </w:tblGrid>
      <w:tr>
        <w:tc>
          <w:tcPr>
            <w:tcW w:type="dxa" w:w="3168"/>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Gap in existing tools</w:t>
            </w:r>
          </w:p>
        </w:tc>
        <w:tc>
          <w:tcPr>
            <w:tcW w:type="dxa" w:w="705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How Wafir responds (implemented)</w:t>
            </w:r>
          </w:p>
        </w:tc>
      </w:tr>
      <w:tr>
        <w:tc>
          <w:tcPr>
            <w:tcW w:type="dxa" w:w="3168"/>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Late bill shock</w:t>
            </w:r>
          </w:p>
        </w:tc>
        <w:tc>
          <w:tcPr>
            <w:tcW w:type="dxa" w:w="70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Seasonal forecast vs budget; Level-2 warning if predicted SAR &gt; budget or temperature ≥40°C</w:t>
            </w:r>
          </w:p>
        </w:tc>
      </w:tr>
      <w:tr>
        <w:tc>
          <w:tcPr>
            <w:tcW w:type="dxa" w:w="3168"/>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Opaque advice</w:t>
            </w:r>
          </w:p>
        </w:tc>
        <w:tc>
          <w:tcPr>
            <w:tcW w:type="dxa" w:w="70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RAG over verified chunks with citation URLs; if nothing matches: Arabic INSUFFICIENT_EVIDENCE, no invented law</w:t>
            </w:r>
          </w:p>
        </w:tc>
      </w:tr>
      <w:tr>
        <w:tc>
          <w:tcPr>
            <w:tcW w:type="dxa" w:w="3168"/>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privacy gate</w:t>
            </w:r>
          </w:p>
        </w:tc>
        <w:tc>
          <w:tcPr>
            <w:tcW w:type="dxa" w:w="70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PDPL consent screen before processing; preprocessor pseudonymizes household id before ML export</w:t>
            </w:r>
          </w:p>
        </w:tc>
      </w:tr>
      <w:tr>
        <w:tc>
          <w:tcPr>
            <w:tcW w:type="dxa" w:w="3168"/>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Ads from consumption</w:t>
            </w:r>
          </w:p>
        </w:tc>
        <w:tc>
          <w:tcPr>
            <w:tcW w:type="dxa" w:w="70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Deterministic policy node blocks targeted_ads_from_consumption (PDPL-ADS-001)</w:t>
            </w:r>
          </w:p>
        </w:tc>
      </w:tr>
      <w:tr>
        <w:tc>
          <w:tcPr>
            <w:tcW w:type="dxa" w:w="3168"/>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orchestration evidence</w:t>
            </w:r>
          </w:p>
        </w:tc>
        <w:tc>
          <w:tcPr>
            <w:tcW w:type="dxa" w:w="70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Demo path SRC→C→PP→M→P→D with audit log; reproducible via pnpm demo</w:t>
            </w:r>
          </w:p>
        </w:tc>
      </w:tr>
    </w:tbl>
    <w:p>
      <w:pPr>
        <w:spacing w:after="40" w:before="0" w:line="220" w:lineRule="auto"/>
      </w:pPr>
    </w:p>
    <w:p>
      <w:pPr>
        <w:spacing w:after="60" w:before="120" w:line="220" w:lineRule="auto"/>
      </w:pPr>
      <w:r>
        <w:rPr>
          <w:rFonts w:ascii="Calibri" w:hAnsi="Calibri" w:cs="IBM Plex Sans Arabic" w:eastAsia="Calibri"/>
          <w:b/>
          <w:color w:val="0F766E"/>
          <w:sz w:val="24"/>
        </w:rPr>
        <w:t>3. Y.3172 architecture (mapped documents)</w:t>
      </w:r>
    </w:p>
    <w:p>
      <w:pPr>
        <w:spacing w:after="60" w:before="0" w:line="220" w:lineRule="auto"/>
      </w:pPr>
      <w:r>
        <w:rPr>
          <w:rFonts w:ascii="Calibri" w:hAnsi="Calibri" w:cs="IBM Plex Sans Arabic" w:eastAsia="Calibri"/>
          <w:b w:val="0"/>
          <w:color w:val="0F172A"/>
          <w:sz w:val="18"/>
        </w:rPr>
        <w:t>Sandbox is a Y.3172 supporting component (parallel validation). MLFO is seasonal-profile switching inside M, not an eighth official node. Y.3172 ↔ Readiness (ITU summary): D5 workflows, D10 policies, D13 infrastructure.</w:t>
      </w:r>
    </w:p>
    <w:p>
      <w:pPr>
        <w:spacing w:after="40" w:before="0" w:line="220" w:lineRule="auto"/>
        <w:jc w:val="center"/>
      </w:pPr>
      <w:r>
        <w:drawing>
          <wp:inline xmlns:a="http://schemas.openxmlformats.org/drawingml/2006/main" xmlns:pic="http://schemas.openxmlformats.org/drawingml/2006/picture">
            <wp:extent cx="6400800" cy="1360170"/>
            <wp:docPr id="2" name="Picture 2"/>
            <wp:cNvGraphicFramePr>
              <a:graphicFrameLocks noChangeAspect="1"/>
            </wp:cNvGraphicFramePr>
            <a:graphic>
              <a:graphicData uri="http://schemas.openxmlformats.org/drawingml/2006/picture">
                <pic:pic>
                  <pic:nvPicPr>
                    <pic:cNvPr id="0" name="y3172-pipeline.png"/>
                    <pic:cNvPicPr/>
                  </pic:nvPicPr>
                  <pic:blipFill>
                    <a:blip r:embed="rId13"/>
                    <a:stretch>
                      <a:fillRect/>
                    </a:stretch>
                  </pic:blipFill>
                  <pic:spPr>
                    <a:xfrm>
                      <a:off x="0" y="0"/>
                      <a:ext cx="6400800" cy="1360170"/>
                    </a:xfrm>
                    <a:prstGeom prst="rect"/>
                  </pic:spPr>
                </pic:pic>
              </a:graphicData>
            </a:graphic>
          </wp:inline>
        </w:drawing>
      </w:r>
    </w:p>
    <w:tbl>
      <w:tblPr>
        <w:tblW w:type="auto" w:w="0"/>
        <w:tblLayout w:type="fixed"/>
        <w:tblLook w:firstColumn="1" w:firstRow="1" w:lastColumn="0" w:lastRow="0" w:noHBand="0" w:noVBand="1" w:val="04A0"/>
      </w:tblPr>
      <w:tblGrid>
        <w:gridCol w:w="3408"/>
        <w:gridCol w:w="3408"/>
        <w:gridCol w:w="3408"/>
      </w:tblGrid>
      <w:tr>
        <w:tc>
          <w:tcPr>
            <w:tcW w:type="dxa" w:w="158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Node</w:t>
            </w:r>
          </w:p>
        </w:tc>
        <w:tc>
          <w:tcPr>
            <w:tcW w:type="dxa" w:w="489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Role in Wafir</w:t>
            </w:r>
          </w:p>
        </w:tc>
        <w:tc>
          <w:tcPr>
            <w:tcW w:type="dxa" w:w="37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Supporting document</w:t>
            </w:r>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SRC</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Budget 500 SAR, simulated kWh, weather (OpenWeather if key set, else simulated)</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4">
              <w:r>
                <w:rPr>
                  <w:color w:val="0F766E"/>
                  <w:u w:val="single"/>
                  <w:sz w:val="15"/>
                  <w:szCs w:val="15"/>
                </w:rPr>
                <w:t xml:space="preserve">SERA residential tariff</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C</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Demo collector / heatwave aggregation (simulateMeterReading). No consumer AMI API — GAP-01</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5">
              <w:r>
                <w:rPr>
                  <w:color w:val="0F766E"/>
                  <w:u w:val="single"/>
                  <w:sz w:val="15"/>
                  <w:szCs w:val="15"/>
                </w:rPr>
                <w:t xml:space="preserve">SEC data sharing</w:t>
              </w:r>
            </w:hyperlink>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PP</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Gap-fill missing daily kWh; hash household id (pseudonymization, not full anonymization)</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6">
              <w:r>
                <w:rPr>
                  <w:color w:val="0F766E"/>
                  <w:u w:val="single"/>
                  <w:sz w:val="15"/>
                  <w:szCs w:val="15"/>
                </w:rPr>
                <w:t xml:space="preserve">PDPL destruction / pseudonymisation</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M + MLFO</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Rule-based SAR forecast; summer profile at ≥38°C (method reference, not trained weights)</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7">
              <w:r>
                <w:rPr>
                  <w:color w:val="0F766E"/>
                  <w:u w:val="single"/>
                  <w:sz w:val="15"/>
                  <w:szCs w:val="15"/>
                </w:rPr>
                <w:t xml:space="preserve">MDPI KSA energy forecasting</w:t>
              </w:r>
            </w:hyperlink>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Sandbox</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isSandbox: forecast without distributor alerts</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8">
              <w:r>
                <w:rPr>
                  <w:color w:val="0F766E"/>
                  <w:u w:val="single"/>
                  <w:sz w:val="15"/>
                  <w:szCs w:val="15"/>
                </w:rPr>
                <w:t xml:space="preserve">ITU-T Y.3172</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Budget L1/L1b/L2 + ads guard (no LLM in the decision)</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9">
              <w:r>
                <w:rPr>
                  <w:color w:val="0F766E"/>
                  <w:u w:val="single"/>
                  <w:sz w:val="15"/>
                  <w:szCs w:val="15"/>
                </w:rPr>
                <w:t xml:space="preserve">PDPL official text + PDPL-ADS-001</w:t>
              </w:r>
            </w:hyperlink>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In-app + Web/Local notifications (FCM needs keys)</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20">
              <w:r>
                <w:rPr>
                  <w:color w:val="0F766E"/>
                  <w:u w:val="single"/>
                  <w:sz w:val="15"/>
                  <w:szCs w:val="15"/>
                </w:rPr>
                <w:t xml:space="preserve">SDAIA AI Ethics (human oversight)</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SINK</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Arabic RTL React UI. SAMA consumer-protection analog; not Open Banking integration</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1">
              <w:r>
                <w:rPr>
                  <w:color w:val="0F766E"/>
                  <w:u w:val="single"/>
                  <w:sz w:val="15"/>
                  <w:szCs w:val="15"/>
                </w:rPr>
                <w:t xml:space="preserve">SAMA consumer protection</w:t>
              </w:r>
            </w:hyperlink>
          </w:p>
        </w:tc>
      </w:tr>
    </w:tbl>
    <w:p>
      <w:pPr>
        <w:spacing w:after="40" w:before="0" w:line="220" w:lineRule="auto"/>
      </w:pPr>
    </w:p>
    <w:p>
      <w:pPr>
        <w:spacing w:after="60" w:before="120" w:line="220" w:lineRule="auto"/>
      </w:pPr>
      <w:r>
        <w:rPr>
          <w:rFonts w:ascii="Calibri" w:hAnsi="Calibri" w:cs="IBM Plex Sans Arabic" w:eastAsia="Calibri"/>
          <w:b/>
          <w:color w:val="0F766E"/>
          <w:sz w:val="24"/>
        </w:rPr>
        <w:t>4. ITU AI Readiness 2.0 — six factors and selected dimensions</w:t>
      </w:r>
    </w:p>
    <w:p>
      <w:pPr>
        <w:spacing w:after="60" w:before="0" w:line="220" w:lineRule="auto"/>
      </w:pPr>
      <w:r>
        <w:rPr>
          <w:rFonts w:ascii="Calibri" w:hAnsi="Calibri" w:cs="IBM Plex Sans Arabic" w:eastAsia="Calibri"/>
          <w:b w:val="0"/>
          <w:color w:val="0F172A"/>
          <w:sz w:val="18"/>
        </w:rPr>
        <w:t>Official names: kb/framework/dimensions.json (ITU AI Readiness Report 2.0). PDPL / purpose limitation maps to D10, not D8.</w:t>
      </w:r>
    </w:p>
    <w:tbl>
      <w:tblPr>
        <w:tblW w:type="auto" w:w="0"/>
        <w:tblLayout w:type="fixed"/>
        <w:tblLook w:firstColumn="1" w:firstRow="1" w:lastColumn="0" w:lastRow="0" w:noHBand="0" w:noVBand="1" w:val="04A0"/>
      </w:tblPr>
      <w:tblGrid>
        <w:gridCol w:w="5112"/>
        <w:gridCol w:w="5112"/>
      </w:tblGrid>
      <w:tr>
        <w:tc>
          <w:tcPr>
            <w:tcW w:type="dxa" w:w="2880"/>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Factor</w:t>
            </w:r>
          </w:p>
        </w:tc>
        <w:tc>
          <w:tcPr>
            <w:tcW w:type="dxa" w:w="73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Wafir evidence</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Data</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Public Saudi/ITU documents in knowledge-base.json (not private household dumps)</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Research</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Three deep-research passes in docs/research/ (ChatGPT, Gemini, Perplexity), then human merge</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Deployment Support</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Vite SPA on Hostinger; optional Supabase; Capacitor wrapper</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Standards</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Y.3172 node mapping + ITU-T Y.3172 citation</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Open Source and Code</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Public GitHub https://github.com/aboalrejal-ai/wafier</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Sandbox Environments</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isSandbox heatwave path — forecast without pushing alerts</w:t>
            </w:r>
          </w:p>
        </w:tc>
      </w:tr>
    </w:tbl>
    <w:p>
      <w:pPr>
        <w:spacing w:after="40" w:before="0" w:line="220" w:lineRule="auto"/>
      </w:pPr>
    </w:p>
    <w:tbl>
      <w:tblPr>
        <w:tblW w:type="auto" w:w="0"/>
        <w:tblLayout w:type="fixed"/>
        <w:tblLook w:firstColumn="1" w:firstRow="1" w:lastColumn="0" w:lastRow="0" w:noHBand="0" w:noVBand="1" w:val="04A0"/>
      </w:tblPr>
      <w:tblGrid>
        <w:gridCol w:w="3408"/>
        <w:gridCol w:w="3408"/>
        <w:gridCol w:w="3408"/>
      </w:tblGrid>
      <w:tr>
        <w:tc>
          <w:tcPr>
            <w:tcW w:type="dxa" w:w="86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ID</w:t>
            </w:r>
          </w:p>
        </w:tc>
        <w:tc>
          <w:tcPr>
            <w:tcW w:type="dxa" w:w="37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Official ITU dimension</w:t>
            </w:r>
          </w:p>
        </w:tc>
        <w:tc>
          <w:tcPr>
            <w:tcW w:type="dxa" w:w="561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Wafir evidence</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D5</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Level of Integration of AI in Workflows</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Pipeline audit, graduated alerts, pnpm demo</w:t>
            </w:r>
          </w:p>
        </w:tc>
      </w:tr>
      <w:tr>
        <w:tc>
          <w:tcPr>
            <w:tcW w:type="dxa" w:w="86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D6</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Human Interface</w:t>
            </w:r>
          </w:p>
        </w:tc>
        <w:tc>
          <w:tcPr>
            <w:tcW w:type="dxa" w:w="561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Arabic RTL UI + AI assistant with citations</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D7</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Strategy Alignment</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KB NSDAI-001 (Vision 2030 / SDAIA NSDAI PDF). Use-case aligned to national strategy; we do not claim to implement NSDAI</w:t>
            </w:r>
          </w:p>
        </w:tc>
      </w:tr>
      <w:tr>
        <w:tc>
          <w:tcPr>
            <w:tcW w:type="dxa" w:w="86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D8</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Collaboration with AI</w:t>
            </w:r>
          </w:p>
        </w:tc>
        <w:tc>
          <w:tcPr>
            <w:tcW w:type="dxa" w:w="561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HITL: 2-hour alert snooze on Profile; user question shapes RAG</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D10</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AI &amp; Policies</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Six verdicts; SC-03 policy sandbox; GAP-01..06; PDPL consent + purpose limitation</w:t>
            </w:r>
          </w:p>
        </w:tc>
      </w:tr>
      <w:tr>
        <w:tc>
          <w:tcPr>
            <w:tcW w:type="dxa" w:w="86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D11</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AI for Inclusion</w:t>
            </w:r>
          </w:p>
        </w:tc>
        <w:tc>
          <w:tcPr>
            <w:tcW w:type="dxa" w:w="561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Arabic-first interface; local SERA/KAPSARC context</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D13</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Digital Infrastructure</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Hosted SPA; optional Supabase; simulated meter as Y.3172 SRC stand-in</w:t>
            </w:r>
          </w:p>
        </w:tc>
      </w:tr>
    </w:tbl>
    <w:p>
      <w:pPr>
        <w:spacing w:after="40" w:before="0" w:line="220" w:lineRule="auto"/>
      </w:pPr>
    </w:p>
    <w:p>
      <w:pPr>
        <w:spacing w:after="60" w:before="120" w:line="220" w:lineRule="auto"/>
      </w:pPr>
      <w:r>
        <w:rPr>
          <w:rFonts w:ascii="Calibri" w:hAnsi="Calibri" w:cs="IBM Plex Sans Arabic" w:eastAsia="Calibri"/>
          <w:b/>
          <w:color w:val="0F766E"/>
          <w:sz w:val="24"/>
        </w:rPr>
        <w:t>5. Three evaluation scenarios + Policy Gap Matrix</w:t>
      </w:r>
    </w:p>
    <w:p>
      <w:pPr>
        <w:spacing w:after="60" w:before="0" w:line="220" w:lineRule="auto"/>
      </w:pPr>
      <w:r>
        <w:rPr>
          <w:rFonts w:ascii="Calibri" w:hAnsi="Calibri" w:cs="IBM Plex Sans Arabic" w:eastAsia="Calibri"/>
          <w:b w:val="0"/>
          <w:color w:val="0F172A"/>
          <w:sz w:val="18"/>
        </w:rPr>
        <w:t>Reproducible proof: pnpm demo (or node scripts/run-demo.mjs). Demo data are synthetic.</w:t>
      </w:r>
    </w:p>
    <w:p>
      <w:pPr>
        <w:spacing w:after="60" w:before="0" w:line="220" w:lineRule="auto"/>
      </w:pPr>
      <w:r>
        <w:rPr>
          <w:rFonts w:ascii="Calibri" w:hAnsi="Calibri" w:cs="IBM Plex Sans Arabic" w:eastAsia="Calibri"/>
          <w:b/>
          <w:color w:val="0F172A"/>
          <w:sz w:val="20"/>
        </w:rPr>
        <w:t>SC-01 — Compliant RAG (scenarios/sc-01-compliant-rag.json)</w:t>
      </w:r>
    </w:p>
    <w:p>
      <w:pPr>
        <w:spacing w:after="60" w:before="0" w:line="220" w:lineRule="auto"/>
      </w:pPr>
      <w:r>
        <w:rPr>
          <w:rFonts w:ascii="Calibri" w:hAnsi="Calibri" w:cs="IBM Plex Sans Arabic" w:eastAsia="Calibri"/>
          <w:b w:val="0"/>
          <w:color w:val="0F172A"/>
          <w:sz w:val="18"/>
        </w:rPr>
        <w:t>Scenario. User asks in the AI Assistant: ⁧كيف أوفر في فاتورة الكهرباء؟⁩  Step 1: The household submits a normal saving question. Context is synthetic.  Step 2: Wafir retrieves verified KB chunks by keyword matching over curated records (not a live web search). If no chunk matches, the assistant returns ⁧لا توجد أدلة كافية…⁩ (INSUFFICIENT_EVIDENCE) and invents no URLs.  Step 3: For this query the grounded reply gives qualitative saving tips (runtime, efficient AC / SASO 2663, insulation, LED, night-time loads) with citation URLs. Expected verdict: COMPLIANT. Tips are not a guaranteed SAR saving.</w:t>
      </w:r>
    </w:p>
    <w:p>
      <w:pPr>
        <w:spacing w:after="60" w:before="0" w:line="220" w:lineRule="auto"/>
      </w:pPr>
      <w:r>
        <w:rPr>
          <w:rFonts w:ascii="Calibri" w:hAnsi="Calibri" w:cs="IBM Plex Sans Arabic" w:eastAsia="Calibri"/>
          <w:b/>
          <w:color w:val="0F172A"/>
          <w:sz w:val="20"/>
        </w:rPr>
        <w:t>SC-02 — Operational failure (scenarios/sc-02-pp-gap-fill.json)</w:t>
      </w:r>
    </w:p>
    <w:p>
      <w:pPr>
        <w:spacing w:after="60" w:before="0" w:line="220" w:lineRule="auto"/>
      </w:pPr>
      <w:r>
        <w:rPr>
          <w:rFonts w:ascii="Calibri" w:hAnsi="Calibri" w:cs="IBM Plex Sans Arabic" w:eastAsia="Calibri"/>
          <w:b w:val="0"/>
          <w:color w:val="0F172A"/>
          <w:sz w:val="18"/>
        </w:rPr>
        <w:t>Scenario. In a 7-day kWh series, day 4 is missing (kwh: null); other days are 29.67.  Step 1: Collector/preprocessor sees an incomplete series (simulated meter gap, not a live AMI outage).  Step 2: The missing day is filled from neighbouring values (demo expected fill = 29.67). Household id is pseudonymized for export.  Step 3: Forecast and dashboard continue; the audit log records the gap-fill; the app does not crash. Expected: graceful degradation. The filled value is not claimed as a real meter reading.</w:t>
      </w:r>
    </w:p>
    <w:p>
      <w:pPr>
        <w:spacing w:after="60" w:before="0" w:line="220" w:lineRule="auto"/>
      </w:pPr>
      <w:r>
        <w:rPr>
          <w:rFonts w:ascii="Calibri" w:hAnsi="Calibri" w:cs="IBM Plex Sans Arabic" w:eastAsia="Calibri"/>
          <w:b/>
          <w:color w:val="0F172A"/>
          <w:sz w:val="20"/>
        </w:rPr>
        <w:t>SC-03 — Controversy / targeted ads (scenarios/sc-03-ads-controversy.json)</w:t>
      </w:r>
    </w:p>
    <w:p>
      <w:pPr>
        <w:spacing w:after="60" w:before="0" w:line="220" w:lineRule="auto"/>
      </w:pPr>
      <w:r>
        <w:rPr>
          <w:rFonts w:ascii="Calibri" w:hAnsi="Calibri" w:cs="IBM Plex Sans Arabic" w:eastAsia="Calibri"/>
          <w:b w:val="0"/>
          <w:color w:val="0F172A"/>
          <w:sz w:val="18"/>
        </w:rPr>
        <w:t>Scenario. A dummy provider requests targeted_ads_from_consumption.  Step 1: The request arrives as a policy check (About → controversy scenario), not as a live ad SDK.  Step 2: Policy node evaluateKbGuardPolicy runs deterministically (no LLM).  Step 3: Result VIOLATION / BLOCK_DATA_USE / PDPL-ADS-001. In-app notice: ⁧حارس سياسة KB — منع الإعلانات⁩. Audit stores the verdict and the PDPL knowledge-center URL.  Step 4 (corrective): Consumption data is not released for ads. This is a Wafir purpose-limitation control. PDPL Art.26 allows consented marketing of non-sensitive data; we do not claim a statutory total advertising ban. HITL snooze remains available on Profile for budget alerts.</w:t>
      </w:r>
    </w:p>
    <w:p>
      <w:pPr>
        <w:spacing w:after="60" w:before="0" w:line="220" w:lineRule="auto"/>
      </w:pPr>
      <w:r>
        <w:rPr>
          <w:rFonts w:ascii="Calibri" w:hAnsi="Calibri" w:cs="IBM Plex Sans Arabic" w:eastAsia="Calibri"/>
          <w:b w:val="0"/>
          <w:color w:val="0F172A"/>
          <w:sz w:val="18"/>
        </w:rPr>
        <w:t>Policy Gap Matrix. Classifications are from sources we reviewed; they are not a claim that Saudi law is silent in every forum.</w:t>
      </w:r>
    </w:p>
    <w:tbl>
      <w:tblPr>
        <w:tblW w:type="auto" w:w="0"/>
        <w:tblLayout w:type="fixed"/>
        <w:tblLook w:firstColumn="1" w:firstRow="1" w:lastColumn="0" w:lastRow="0" w:noHBand="0" w:noVBand="1" w:val="04A0"/>
      </w:tblPr>
      <w:tblGrid>
        <w:gridCol w:w="2556"/>
        <w:gridCol w:w="2556"/>
        <w:gridCol w:w="2556"/>
        <w:gridCol w:w="2556"/>
      </w:tblGrid>
      <w:tr>
        <w:tc>
          <w:tcPr>
            <w:tcW w:type="dxa" w:w="122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ID</w:t>
            </w:r>
          </w:p>
        </w:tc>
        <w:tc>
          <w:tcPr>
            <w:tcW w:type="dxa" w:w="1800"/>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Type</w:t>
            </w:r>
          </w:p>
        </w:tc>
        <w:tc>
          <w:tcPr>
            <w:tcW w:type="dxa" w:w="345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Gap</w:t>
            </w:r>
          </w:p>
        </w:tc>
        <w:tc>
          <w:tcPr>
            <w:tcW w:type="dxa" w:w="37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Recommendation</w:t>
            </w:r>
          </w:p>
        </w:tc>
      </w:tr>
      <w:tr>
        <w:tc>
          <w:tcPr>
            <w:tcW w:type="dxa" w:w="122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GAP-01</w:t>
            </w:r>
          </w:p>
        </w:tc>
        <w:tc>
          <w:tcPr>
            <w:tcW w:type="dxa" w:w="180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consumer-authorized AMI API</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Open-Utility style authorization (like Open Banking)</w:t>
            </w:r>
          </w:p>
        </w:tc>
      </w:tr>
      <w:tr>
        <w:tc>
          <w:tcPr>
            <w:tcW w:type="dxa" w:w="122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GAP-02</w:t>
            </w:r>
          </w:p>
        </w:tc>
        <w:tc>
          <w:tcPr>
            <w:tcW w:type="dxa" w:w="180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AI forecast liability allocation</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Sector guidance; general civil law may apply (CIVIL-LAW-120)</w:t>
            </w:r>
          </w:p>
        </w:tc>
      </w:tr>
      <w:tr>
        <w:tc>
          <w:tcPr>
            <w:tcW w:type="dxa" w:w="122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GAP-03</w:t>
            </w:r>
          </w:p>
        </w:tc>
        <w:tc>
          <w:tcPr>
            <w:tcW w:type="dxa" w:w="180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Energy-sector AI data rules</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PDPL + SERA PDP under explicit sector policy</w:t>
            </w:r>
          </w:p>
        </w:tc>
      </w:tr>
      <w:tr>
        <w:tc>
          <w:tcPr>
            <w:tcW w:type="dxa" w:w="122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GAP-04</w:t>
            </w:r>
          </w:p>
        </w:tc>
        <w:tc>
          <w:tcPr>
            <w:tcW w:type="dxa" w:w="180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No mandatory energy algorithm-audit standard</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Y.3172 sandbox + ISO 42001 as a benchmark (not a certification)</w:t>
            </w:r>
          </w:p>
        </w:tc>
      </w:tr>
      <w:tr>
        <w:tc>
          <w:tcPr>
            <w:tcW w:type="dxa" w:w="122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GAP-05</w:t>
            </w:r>
          </w:p>
        </w:tc>
        <w:tc>
          <w:tcPr>
            <w:tcW w:type="dxa" w:w="180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machine-readable law repository</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Government structured-regulation API</w:t>
            </w:r>
          </w:p>
        </w:tc>
      </w:tr>
      <w:tr>
        <w:tc>
          <w:tcPr>
            <w:tcW w:type="dxa" w:w="122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GAP-06</w:t>
            </w:r>
          </w:p>
        </w:tc>
        <w:tc>
          <w:tcPr>
            <w:tcW w:type="dxa" w:w="180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ambiguity</w:t>
            </w:r>
          </w:p>
        </w:tc>
        <w:tc>
          <w:tcPr>
            <w:tcW w:type="dxa" w:w="34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Consumption → ads repurposing</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Explicit PDPL/sector guidance; Wafir blocks silent reuse</w:t>
            </w:r>
          </w:p>
        </w:tc>
      </w:tr>
    </w:tbl>
    <w:p>
      <w:pPr>
        <w:spacing w:after="40" w:before="0" w:line="220" w:lineRule="auto"/>
      </w:pPr>
    </w:p>
    <w:p>
      <w:pPr>
        <w:spacing w:after="60" w:before="0" w:line="220" w:lineRule="auto"/>
      </w:pPr>
      <w:r>
        <w:rPr>
          <w:rFonts w:ascii="Calibri" w:hAnsi="Calibri" w:cs="IBM Plex Sans Arabic" w:eastAsia="Calibri"/>
          <w:b w:val="0"/>
          <w:color w:val="0F172A"/>
          <w:sz w:val="17"/>
        </w:rPr>
        <w:t>GAP-01. In the sources we reviewed, we did not find a consumer-authorized AMI API comparable to Open Banking that would let Wafir pull live meter data with user consent. Wafir therefore uses simulated kWh. Recommendation: an Open-Utility style authorization framework.</w:t>
      </w:r>
    </w:p>
    <w:p>
      <w:pPr>
        <w:spacing w:after="60" w:before="0" w:line="220" w:lineRule="auto"/>
      </w:pPr>
      <w:r>
        <w:rPr>
          <w:rFonts w:ascii="Calibri" w:hAnsi="Calibri" w:cs="IBM Plex Sans Arabic" w:eastAsia="Calibri"/>
          <w:b w:val="0"/>
          <w:color w:val="0F172A"/>
          <w:sz w:val="17"/>
        </w:rPr>
        <w:t>GAP-02. We did not find sector-specific rules allocating liability when an energy forecast is wrong. General civil-law harmful-act principles may still apply (CIVIL-LAW-120). Recommendation: sector guidance; until then Wafir labels forecasts as estimates.</w:t>
      </w:r>
    </w:p>
    <w:p>
      <w:pPr>
        <w:spacing w:after="60" w:before="0" w:line="220" w:lineRule="auto"/>
      </w:pPr>
      <w:r>
        <w:rPr>
          <w:rFonts w:ascii="Calibri" w:hAnsi="Calibri" w:cs="IBM Plex Sans Arabic" w:eastAsia="Calibri"/>
          <w:b w:val="0"/>
          <w:color w:val="0F172A"/>
          <w:sz w:val="17"/>
        </w:rPr>
        <w:t>GAP-03. PDPL and SERA data-protection pages exist, but energy-AI processing (forecasting, sharing, secondary use) is not spelled out as a sector playbook in the sources we checked. Recommendation: PDPL + SERA PDP under explicit sector policy.</w:t>
      </w:r>
    </w:p>
    <w:p>
      <w:pPr>
        <w:spacing w:after="60" w:before="0" w:line="220" w:lineRule="auto"/>
      </w:pPr>
      <w:r>
        <w:rPr>
          <w:rFonts w:ascii="Calibri" w:hAnsi="Calibri" w:cs="IBM Plex Sans Arabic" w:eastAsia="Calibri"/>
          <w:b w:val="0"/>
          <w:color w:val="0F172A"/>
          <w:sz w:val="17"/>
        </w:rPr>
        <w:t>GAP-04. We did not find a mandatory energy-sector algorithm-audit standard for household bill models. Recommendation: use the Y.3172 sandbox pattern and ISO/IEC 42001 as a benchmark, not a claimed certification.</w:t>
      </w:r>
    </w:p>
    <w:p>
      <w:pPr>
        <w:spacing w:after="60" w:before="0" w:line="220" w:lineRule="auto"/>
      </w:pPr>
      <w:r>
        <w:rPr>
          <w:rFonts w:ascii="Calibri" w:hAnsi="Calibri" w:cs="IBM Plex Sans Arabic" w:eastAsia="Calibri"/>
          <w:b w:val="0"/>
          <w:color w:val="0F172A"/>
          <w:sz w:val="17"/>
        </w:rPr>
        <w:t>GAP-05. Official texts are published as HTML/PDF, not as a queryable regulation API. Wafir therefore curates verified chunks rather than scraping live law. Recommendation: a government structured-regulation API.</w:t>
      </w:r>
    </w:p>
    <w:p>
      <w:pPr>
        <w:spacing w:after="60" w:before="0" w:line="220" w:lineRule="auto"/>
      </w:pPr>
      <w:r>
        <w:rPr>
          <w:rFonts w:ascii="Calibri" w:hAnsi="Calibri" w:cs="IBM Plex Sans Arabic" w:eastAsia="Calibri"/>
          <w:b w:val="0"/>
          <w:color w:val="0F172A"/>
          <w:sz w:val="17"/>
        </w:rPr>
        <w:t>GAP-06. PDPL purpose limitation and Art.25–27 constrain marketing, but Art.26 still allows consented marketing of non-sensitive data. Whether electricity-consumption profiles may be reused for ads is not spelled out for this use case. Wafir blocks silent repurposing by policy (SC-03). Recommendation: explicit PDPL/sector guidance on energy-data repurposing.</w:t>
      </w:r>
    </w:p>
    <w:p>
      <w:pPr>
        <w:spacing w:after="60" w:before="120" w:line="220" w:lineRule="auto"/>
      </w:pPr>
      <w:r>
        <w:rPr>
          <w:rFonts w:ascii="Calibri" w:hAnsi="Calibri" w:cs="IBM Plex Sans Arabic" w:eastAsia="Calibri"/>
          <w:b/>
          <w:color w:val="0F766E"/>
          <w:sz w:val="24"/>
        </w:rPr>
        <w:t>6. Knowledge base (authentic sources) and repository links</w:t>
      </w:r>
    </w:p>
    <w:p>
      <w:pPr>
        <w:spacing w:after="60" w:before="0" w:line="220" w:lineRule="auto"/>
      </w:pPr>
      <w:r>
        <w:rPr>
          <w:rFonts w:ascii="Calibri" w:hAnsi="Calibri" w:cs="IBM Plex Sans Arabic" w:eastAsia="Calibri"/>
          <w:b w:val="0"/>
          <w:color w:val="0F172A"/>
          <w:sz w:val="18"/>
        </w:rPr>
        <w:t>Full corpus: knowledge-base.json (42 VERIFIED + 1 ISO benchmark). Ten primary citations for judges:</w:t>
      </w:r>
    </w:p>
    <w:tbl>
      <w:tblPr>
        <w:tblW w:type="auto" w:w="0"/>
        <w:tblLayout w:type="fixed"/>
        <w:tblLook w:firstColumn="1" w:firstRow="1" w:lastColumn="0" w:lastRow="0" w:noHBand="0" w:noVBand="1" w:val="04A0"/>
      </w:tblPr>
      <w:tblGrid>
        <w:gridCol w:w="2556"/>
        <w:gridCol w:w="2556"/>
        <w:gridCol w:w="2556"/>
        <w:gridCol w:w="2556"/>
      </w:tblGrid>
      <w:tr>
        <w:tc>
          <w:tcPr>
            <w:tcW w:type="dxa" w:w="57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w:t>
            </w:r>
          </w:p>
        </w:tc>
        <w:tc>
          <w:tcPr>
            <w:tcW w:type="dxa" w:w="4032"/>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Document</w:t>
            </w:r>
          </w:p>
        </w:tc>
        <w:tc>
          <w:tcPr>
            <w:tcW w:type="dxa" w:w="158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Authority</w:t>
            </w:r>
          </w:p>
        </w:tc>
        <w:tc>
          <w:tcPr>
            <w:tcW w:type="dxa" w:w="4032"/>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URL</w:t>
            </w:r>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1</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PDPL official EN (Art.4–6, 10–15, 25–27)</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9">
              <w:r>
                <w:rPr>
                  <w:color w:val="0F766E"/>
                  <w:u w:val="single"/>
                  <w:sz w:val="15"/>
                  <w:szCs w:val="15"/>
                </w:rPr>
                <w:t xml:space="preserve">sdaia.gov.sa PDF</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2</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PDPL Art.26 direct marketing</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2">
              <w:r>
                <w:rPr>
                  <w:color w:val="0F766E"/>
                  <w:u w:val="single"/>
                  <w:sz w:val="15"/>
                  <w:szCs w:val="15"/>
                </w:rPr>
                <w:t xml:space="preserve">dgp.sdaia.gov.sa PDPL2</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3</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AI Ethics Principles v1.0</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20">
              <w:r>
                <w:rPr>
                  <w:color w:val="0F766E"/>
                  <w:u w:val="single"/>
                  <w:sz w:val="15"/>
                  <w:szCs w:val="15"/>
                </w:rPr>
                <w:t xml:space="preserve">ai-principles-EN.pdf</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4</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NSDAI (Vision 2030)</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3">
              <w:r>
                <w:rPr>
                  <w:color w:val="0F766E"/>
                  <w:u w:val="single"/>
                  <w:sz w:val="15"/>
                  <w:szCs w:val="15"/>
                </w:rPr>
                <w:t xml:space="preserve">NSDAI.pdf</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5</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SERA residential consumption tariff</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SERA</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4">
              <w:r>
                <w:rPr>
                  <w:color w:val="0F766E"/>
                  <w:u w:val="single"/>
                  <w:sz w:val="15"/>
                  <w:szCs w:val="15"/>
                </w:rPr>
                <w:t xml:space="preserve">sera.gov.sa tariff</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6</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SEC data sharing</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SEC</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5">
              <w:r>
                <w:rPr>
                  <w:color w:val="0F766E"/>
                  <w:u w:val="single"/>
                  <w:sz w:val="15"/>
                  <w:szCs w:val="15"/>
                </w:rPr>
                <w:t xml:space="preserve">se.com.sa Open Data</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7</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KBEAT — Building Energy Assessment Tool</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KAPSARC</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24">
              <w:r>
                <w:rPr>
                  <w:color w:val="0F766E"/>
                  <w:u w:val="single"/>
                  <w:sz w:val="15"/>
                  <w:szCs w:val="15"/>
                </w:rPr>
                <w:t xml:space="preserve">apps.kapsarc.org/kbeat</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8</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Financial Consumer Protection Principles (analog)</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SAMA</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1">
              <w:r>
                <w:rPr>
                  <w:color w:val="0F766E"/>
                  <w:u w:val="single"/>
                  <w:sz w:val="15"/>
                  <w:szCs w:val="15"/>
                </w:rPr>
                <w:t xml:space="preserve">rulebook.sama.gov.sa</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9</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ITU-T Y.3172 ML pipeline architecture</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ITU</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8">
              <w:r>
                <w:rPr>
                  <w:color w:val="0F766E"/>
                  <w:u w:val="single"/>
                  <w:sz w:val="15"/>
                  <w:szCs w:val="15"/>
                </w:rPr>
                <w:t xml:space="preserve">itu.int Y.3172</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10</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ISO/IEC 42001:2023 (benchmark only)</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ISO</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5">
              <w:r>
                <w:rPr>
                  <w:color w:val="0F766E"/>
                  <w:u w:val="single"/>
                  <w:sz w:val="15"/>
                  <w:szCs w:val="15"/>
                </w:rPr>
                <w:t xml:space="preserve">iso.org 81230</w:t>
              </w:r>
            </w:hyperlink>
          </w:p>
        </w:tc>
      </w:tr>
    </w:tbl>
    <w:p>
      <w:pPr>
        <w:spacing w:after="40" w:before="0" w:line="220" w:lineRule="auto"/>
      </w:pPr>
    </w:p>
    <w:tbl>
      <w:tblPr>
        <w:tblW w:type="auto" w:w="0"/>
        <w:tblLayout w:type="fixed"/>
        <w:tblLook w:firstColumn="1" w:firstRow="1" w:lastColumn="0" w:lastRow="0" w:noHBand="0" w:noVBand="1" w:val="04A0"/>
      </w:tblPr>
      <w:tblGrid>
        <w:gridCol w:w="5112"/>
        <w:gridCol w:w="5112"/>
      </w:tblGrid>
      <w:tr>
        <w:tc>
          <w:tcPr>
            <w:tcW w:type="dxa" w:w="2880"/>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Deliverable</w:t>
            </w:r>
          </w:p>
        </w:tc>
        <w:tc>
          <w:tcPr>
            <w:tcW w:type="dxa" w:w="73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Location</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GitHub</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1">
              <w:r>
                <w:rPr>
                  <w:color w:val="0F766E"/>
                  <w:u w:val="single"/>
                  <w:sz w:val="15"/>
                  <w:szCs w:val="15"/>
                </w:rPr>
                <w:t xml:space="preserve">https://github.com/aboalrejal-ai/wafier</w:t>
              </w:r>
            </w:hyperlink>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Live demo</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0">
              <w:r>
                <w:rPr>
                  <w:color w:val="0F766E"/>
                  <w:u w:val="single"/>
                  <w:sz w:val="15"/>
                  <w:szCs w:val="15"/>
                </w:rPr>
                <w:t xml:space="preserve">https://wafier.aboalrejal.com/</w:t>
              </w:r>
            </w:hyperlink>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Demo video</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2">
              <w:r>
                <w:rPr>
                  <w:color w:val="0F766E"/>
                  <w:u w:val="single"/>
                  <w:sz w:val="15"/>
                  <w:szCs w:val="15"/>
                </w:rPr>
                <w:t xml:space="preserve">https://www.youtube.com/watch?v=bRYwjbxs9t4</w:t>
              </w:r>
            </w:hyperlink>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Knowledge base</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knowledge-base.json</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Scenarios</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scenarios/</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Reproducible demo</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pnpm demo</w:t>
            </w:r>
          </w:p>
        </w:tc>
      </w:tr>
    </w:tbl>
    <w:p>
      <w:pPr>
        <w:spacing w:after="40" w:before="0" w:line="220" w:lineRule="auto"/>
      </w:pPr>
    </w:p>
    <w:p>
      <w:pPr>
        <w:spacing w:after="60" w:before="0" w:line="220" w:lineRule="auto"/>
      </w:pPr>
      <w:r>
        <w:rPr>
          <w:rFonts w:ascii="Calibri" w:hAnsi="Calibri" w:cs="IBM Plex Sans Arabic" w:eastAsia="Calibri"/>
          <w:b w:val="0"/>
          <w:color w:val="0F172A"/>
          <w:sz w:val="18"/>
        </w:rPr>
        <w:t>Distributor: in-app + Web Notification API + Capacitor Local Notifications.</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afier.aboalrejal.com/" TargetMode="External"/><Relationship Id="rId11" Type="http://schemas.openxmlformats.org/officeDocument/2006/relationships/hyperlink" Target="https://github.com/aboalrejal-ai/wafier" TargetMode="External"/><Relationship Id="rId12" Type="http://schemas.openxmlformats.org/officeDocument/2006/relationships/hyperlink" Target="https://www.youtube.com/watch?v=bRYwjbxs9t4" TargetMode="External"/><Relationship Id="rId13" Type="http://schemas.openxmlformats.org/officeDocument/2006/relationships/image" Target="media/image2.png"/><Relationship Id="rId14" Type="http://schemas.openxmlformats.org/officeDocument/2006/relationships/hyperlink" Target="https://www.sera.gov.sa/en/consumer/electric-tariff/electric-tariff-categories/consumption-tariff" TargetMode="External"/><Relationship Id="rId15" Type="http://schemas.openxmlformats.org/officeDocument/2006/relationships/hyperlink" Target="https://www.se.com.sa/en/Open-Data/Data-Sharing/" TargetMode="External"/><Relationship Id="rId16" Type="http://schemas.openxmlformats.org/officeDocument/2006/relationships/hyperlink" Target="https://dgp.sdaia.gov.sa/wps/portal/pdp/knowledgecenter/details/PersonalDataDestruction/" TargetMode="External"/><Relationship Id="rId17" Type="http://schemas.openxmlformats.org/officeDocument/2006/relationships/hyperlink" Target="https://www.mdpi.com/1996-1073/16/4/2035" TargetMode="External"/><Relationship Id="rId18" Type="http://schemas.openxmlformats.org/officeDocument/2006/relationships/hyperlink" Target="https://www.itu.int/rec/T-REC-Y.3172-201906-I" TargetMode="External"/><Relationship Id="rId19" Type="http://schemas.openxmlformats.org/officeDocument/2006/relationships/hyperlink" Target="https://sdaia.gov.sa/en/SDAIA/about/Documents/Personal%20Data%20English%20V2-23April2023-%20Reviewed-.pdf" TargetMode="External"/><Relationship Id="rId20" Type="http://schemas.openxmlformats.org/officeDocument/2006/relationships/hyperlink" Target="https://dgp.sdaia.gov.sa/wps/wcm/connect/4c56ed1c-1b82-447d-ac29-638f5f99c12e/ai-principles-EN.pdf" TargetMode="External"/><Relationship Id="rId21" Type="http://schemas.openxmlformats.org/officeDocument/2006/relationships/hyperlink" Target="https://rulebook.sama.gov.sa/en/financial-consumer-protection-principles-and-rules" TargetMode="External"/><Relationship Id="rId22" Type="http://schemas.openxmlformats.org/officeDocument/2006/relationships/hyperlink" Target="https://dgp.sdaia.gov.sa/wps/portal/pdp/knowledgecenter/details/PDPL2/" TargetMode="External"/><Relationship Id="rId23" Type="http://schemas.openxmlformats.org/officeDocument/2006/relationships/hyperlink" Target="https://sdaia.gov.sa/en/SDAIA/SdaiaStrategies/Documents/NSDAI.pdf" TargetMode="External"/><Relationship Id="rId24" Type="http://schemas.openxmlformats.org/officeDocument/2006/relationships/hyperlink" Target="https://apps.kapsarc.org/appboard/kbeat/en" TargetMode="External"/><Relationship Id="rId25" Type="http://schemas.openxmlformats.org/officeDocument/2006/relationships/hyperlink" Target="https://www.iso.org/standard/812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