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  <w:keepNext/>
      </w:pPr>
      <w:r>
        <w:rPr>
          <w:rFonts w:ascii="Calibri" w:hAnsi="Calibri"/>
          <w:b/>
          <w:color w:val="2E74B5"/>
          <w:sz w:val="18"/>
        </w:rPr>
        <w:t>INTERACTION DESIGN CASE STUDY</w:t>
      </w:r>
    </w:p>
    <w:p>
      <w:pPr>
        <w:spacing w:before="0" w:after="140" w:line="240" w:lineRule="auto"/>
        <w:keepNext/>
      </w:pPr>
      <w:r>
        <w:rPr>
          <w:rFonts w:ascii="Calibri" w:hAnsi="Calibri"/>
          <w:b/>
          <w:color w:val="202124"/>
          <w:sz w:val="60"/>
        </w:rPr>
        <w:t>Creative Operations Platform</w:t>
      </w:r>
    </w:p>
    <w:p>
      <w:pPr>
        <w:spacing w:before="0" w:after="280" w:line="276" w:lineRule="auto"/>
        <w:keepNext/>
      </w:pPr>
      <w:r>
        <w:rPr>
          <w:rFonts w:ascii="Calibri" w:hAnsi="Calibri"/>
          <w:color w:val="5F6368"/>
          <w:sz w:val="28"/>
        </w:rPr>
        <w:t>From a personal portfolio to a unified, enterprise-pattern product prototype.</w:t>
      </w:r>
    </w:p>
    <w:p>
      <w:pPr>
        <w:spacing w:before="80" w:after="200" w:line="288" w:lineRule="auto"/>
        <w:ind w:left="259" w:right="173"/>
        <w:shd w:fill="E8F0FE" w:val="clear"/>
        <w:pBdr>
          <w:left w:val="single" w:sz="20" w:space="10" w:color="2E74B5"/>
        </w:pBdr>
      </w:pPr>
      <w:r>
        <w:rPr>
          <w:rFonts w:ascii="Calibri" w:hAnsi="Calibri"/>
          <w:b/>
          <w:color w:val="2E74B5"/>
          <w:sz w:val="17"/>
        </w:rPr>
        <w:t>PRODUCT PROMISE</w:t>
        <w:br/>
      </w:r>
      <w:r>
        <w:rPr>
          <w:rFonts w:ascii="Calibri" w:hAnsi="Calibri"/>
          <w:b/>
          <w:color w:val="202124"/>
          <w:sz w:val="22"/>
        </w:rPr>
        <w:t>One workspace to publish, distribute, understand, and evolve creative work.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000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placehold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0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/>
          <w:i/>
          <w:color w:val="5F6368"/>
          <w:sz w:val="16"/>
        </w:rPr>
        <w:t>Hero image placeholder · Recommended crop: 16:7</w:t>
      </w:r>
    </w:p>
    <w:p>
      <w:pPr>
        <w:spacing w:before="0" w:after="60" w:line="274" w:lineRule="auto"/>
      </w:pPr>
      <w:r>
        <w:rPr>
          <w:rFonts w:ascii="Calibri" w:hAnsi="Calibri"/>
          <w:b/>
          <w:color w:val="2E74B5"/>
          <w:sz w:val="19"/>
        </w:rPr>
        <w:t xml:space="preserve">ROLE  </w:t>
      </w:r>
      <w:r>
        <w:rPr>
          <w:rFonts w:ascii="Calibri" w:hAnsi="Calibri"/>
          <w:color w:val="202124"/>
          <w:sz w:val="19"/>
        </w:rPr>
        <w:t>Product strategy · Interaction design · Visual design · Full-stack prototyping</w:t>
      </w:r>
    </w:p>
    <w:p>
      <w:pPr>
        <w:spacing w:before="0" w:after="60" w:line="274" w:lineRule="auto"/>
      </w:pPr>
      <w:r>
        <w:rPr>
          <w:rFonts w:ascii="Calibri" w:hAnsi="Calibri"/>
          <w:b/>
          <w:color w:val="2E74B5"/>
          <w:sz w:val="19"/>
        </w:rPr>
        <w:t xml:space="preserve">STAGE  </w:t>
      </w:r>
      <w:r>
        <w:rPr>
          <w:rFonts w:ascii="Calibri" w:hAnsi="Calibri"/>
          <w:color w:val="202124"/>
          <w:sz w:val="19"/>
        </w:rPr>
        <w:t>Working single-operator platform · Enterprise validation roadmap defined</w:t>
      </w:r>
    </w:p>
    <w:p>
      <w:pPr>
        <w:spacing w:before="0" w:after="60" w:line="274" w:lineRule="auto"/>
      </w:pPr>
      <w:r>
        <w:rPr>
          <w:rFonts w:ascii="Calibri" w:hAnsi="Calibri"/>
          <w:b/>
          <w:color w:val="2E74B5"/>
          <w:sz w:val="19"/>
        </w:rPr>
        <w:t xml:space="preserve">CORE STACK  </w:t>
      </w:r>
      <w:r>
        <w:rPr>
          <w:rFonts w:ascii="Calibri" w:hAnsi="Calibri"/>
          <w:color w:val="202124"/>
          <w:sz w:val="19"/>
        </w:rPr>
        <w:t>Astro · React · TypeScript · Supabase · Cloudflare R2 · Vercel · Resend</w:t>
      </w:r>
    </w:p>
    <w:p>
      <w:pPr>
        <w:spacing w:before="0" w:after="60" w:line="274" w:lineRule="auto"/>
      </w:pPr>
      <w:r>
        <w:rPr>
          <w:rFonts w:ascii="Calibri" w:hAnsi="Calibri"/>
          <w:b/>
          <w:color w:val="2E74B5"/>
          <w:sz w:val="19"/>
        </w:rPr>
        <w:t xml:space="preserve">SCOPE  </w:t>
      </w:r>
      <w:r>
        <w:rPr>
          <w:rFonts w:ascii="Calibri" w:hAnsi="Calibri"/>
          <w:color w:val="202124"/>
          <w:sz w:val="19"/>
        </w:rPr>
        <w:t>Public site · Admin workspace · AI tools · Media pipeline · Analytics</w:t>
      </w:r>
    </w:p>
    <w:p>
      <w:pPr>
        <w:spacing w:before="0" w:after="0" w:line="293" w:lineRule="auto"/>
      </w:pPr>
      <w:r>
        <w:rPr>
          <w:rFonts w:ascii="Calibri" w:hAnsi="Calibri"/>
          <w:color w:val="5F6368"/>
          <w:sz w:val="19"/>
        </w:rPr>
        <w:t>The project began with a personal need: manage a growing body of work and repeated enquiries without switching between disconnected tools. The same workflow problem appears across independent creators, studios, and small teams.</w:t>
      </w:r>
    </w:p>
    <w:p>
      <w:pPr>
        <w:sectPr>
          <w:headerReference w:type="default" r:id="rId9"/>
          <w:headerReference w:type="even" r:id="rId10"/>
          <w:headerReference w:type="first" r:id="rId11"/>
          <w:footerReference w:type="default" r:id="rId12"/>
          <w:footerReference w:type="even" r:id="rId13"/>
          <w:footerReference w:type="first" r:id="rId1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0" w:after="100" w:line="240" w:lineRule="auto"/>
        <w:keepNext/>
      </w:pPr>
      <w:r>
        <w:rPr>
          <w:rFonts w:ascii="Calibri" w:hAnsi="Calibri"/>
          <w:b/>
          <w:color w:val="2E74B5"/>
          <w:sz w:val="18"/>
        </w:rPr>
        <w:t>01 · OPPORTUNITY</w:t>
      </w:r>
    </w:p>
    <w:p>
      <w:pPr>
        <w:pStyle w:val="Heading1"/>
      </w:pPr>
      <w:r>
        <w:t>One creative practice. Too many disconnected tools.</w:t>
      </w:r>
    </w:p>
    <w:p>
      <w:pPr>
        <w:spacing w:before="0" w:after="120" w:line="293" w:lineRule="auto"/>
      </w:pPr>
      <w:r>
        <w:rPr>
          <w:rFonts w:ascii="Calibri" w:hAnsi="Calibri"/>
          <w:color w:val="202124"/>
          <w:sz w:val="20"/>
        </w:rPr>
        <w:t>Publishing, files, newsletters, analytics, research notes, and enquiries lived in separate systems. Every hand-off lost context. Repeated inbound questions suggested that this was not only a personal workflow issue.</w:t>
      </w:r>
    </w:p>
    <w:p>
      <w:pPr>
        <w:spacing w:before="0" w:after="80" w:line="274" w:lineRule="auto"/>
      </w:pPr>
      <w:r>
        <w:rPr>
          <w:rFonts w:ascii="Calibri" w:hAnsi="Calibri"/>
          <w:b/>
          <w:color w:val="2E74B5"/>
          <w:sz w:val="19"/>
        </w:rPr>
        <w:t xml:space="preserve">USER SIGNAL  </w:t>
      </w:r>
      <w:r>
        <w:rPr>
          <w:rFonts w:ascii="Calibri" w:hAnsi="Calibri"/>
          <w:color w:val="202124"/>
          <w:sz w:val="19"/>
        </w:rPr>
        <w:t>Repeated enquiries about projects, services, workshops, resources, and collaboration.</w:t>
      </w:r>
    </w:p>
    <w:p>
      <w:pPr>
        <w:spacing w:before="0" w:after="80" w:line="274" w:lineRule="auto"/>
      </w:pPr>
      <w:r>
        <w:rPr>
          <w:rFonts w:ascii="Calibri" w:hAnsi="Calibri"/>
          <w:b/>
          <w:color w:val="2E74B5"/>
          <w:sz w:val="19"/>
        </w:rPr>
        <w:t xml:space="preserve">CORE NEED  </w:t>
      </w:r>
      <w:r>
        <w:rPr>
          <w:rFonts w:ascii="Calibri" w:hAnsi="Calibri"/>
          <w:color w:val="202124"/>
          <w:sz w:val="19"/>
        </w:rPr>
        <w:t>A single place to create, manage, publish, communicate, and learn.</w:t>
      </w:r>
    </w:p>
    <w:p>
      <w:pPr>
        <w:spacing w:before="0" w:after="160" w:line="274" w:lineRule="auto"/>
      </w:pPr>
      <w:r>
        <w:rPr>
          <w:rFonts w:ascii="Calibri" w:hAnsi="Calibri"/>
          <w:b/>
          <w:color w:val="2E74B5"/>
          <w:sz w:val="19"/>
        </w:rPr>
        <w:t xml:space="preserve">PRODUCT HYPOTHESIS  </w:t>
      </w:r>
      <w:r>
        <w:rPr>
          <w:rFonts w:ascii="Calibri" w:hAnsi="Calibri"/>
          <w:color w:val="202124"/>
          <w:sz w:val="19"/>
        </w:rPr>
        <w:t>A modular operations platform can reduce context switching while preserving creative flexibility.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25626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-m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62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Calibri" w:hAnsi="Calibri"/>
          <w:i/>
          <w:color w:val="5F6368"/>
          <w:sz w:val="16"/>
        </w:rPr>
        <w:t>The product grew outward from one central object: the work itself.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13150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arch-placehold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15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jc w:val="center"/>
      </w:pPr>
      <w:r>
        <w:rPr>
          <w:rFonts w:ascii="Calibri" w:hAnsi="Calibri"/>
          <w:i/>
          <w:color w:val="5F6368"/>
          <w:sz w:val="16"/>
        </w:rPr>
        <w:t>Replace this placeholder with evidence, not decoration.</w:t>
      </w:r>
    </w:p>
    <w:p>
      <w:pPr>
        <w:spacing w:before="0" w:after="0" w:line="293" w:lineRule="auto"/>
      </w:pPr>
      <w:r>
        <w:rPr>
          <w:rFonts w:ascii="Calibri" w:hAnsi="Calibri"/>
          <w:color w:val="5F6368"/>
          <w:sz w:val="17"/>
        </w:rPr>
        <w:t>Research boundary: current evidence combines direct workflow observation and recurring enquiry patterns. The next phase requires structured interviews, competitor analysis, and task-based usability testing.</w:t>
      </w:r>
    </w:p>
    <w:p>
      <w:pPr>
        <w:sectPr>
          <w:headerReference w:type="default" r:id="rId16"/>
          <w:headerReference w:type="even" r:id="rId17"/>
          <w:headerReference w:type="first" r:id="rId18"/>
          <w:footerReference w:type="default" r:id="rId19"/>
          <w:footerReference w:type="even" r:id="rId20"/>
          <w:footerReference w:type="first" r:id="rId21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0" w:after="100" w:line="240" w:lineRule="auto"/>
        <w:keepNext/>
      </w:pPr>
      <w:r>
        <w:rPr>
          <w:rFonts w:ascii="Calibri" w:hAnsi="Calibri"/>
          <w:b/>
          <w:color w:val="2E74B5"/>
          <w:sz w:val="18"/>
        </w:rPr>
        <w:t>02 · CORE PRODUCT FLOW</w:t>
      </w:r>
    </w:p>
    <w:p>
      <w:pPr>
        <w:pStyle w:val="Heading1"/>
      </w:pPr>
      <w:r>
        <w:t>Design the entire content lifecycle.</w:t>
      </w:r>
    </w:p>
    <w:p>
      <w:pPr>
        <w:spacing w:before="0" w:after="120" w:line="293" w:lineRule="auto"/>
      </w:pPr>
      <w:r>
        <w:rPr>
          <w:rFonts w:ascii="Calibri" w:hAnsi="Calibri"/>
          <w:color w:val="202124"/>
          <w:sz w:val="20"/>
        </w:rPr>
        <w:t>The key design decision was to treat publishing as a stateful workflow—not a save button. Every project moves through creation, preview, validation, publication, delivery, and learning.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1214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shing-flo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14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Calibri" w:hAnsi="Calibri"/>
          <w:i/>
          <w:color w:val="5F6368"/>
          <w:sz w:val="16"/>
        </w:rPr>
        <w:t>Primary workflow · Each step exposes clear status, feedback, and recovery.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17859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-placehold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8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Calibri" w:hAnsi="Calibri"/>
          <w:i/>
          <w:color w:val="5F6368"/>
          <w:sz w:val="16"/>
        </w:rPr>
        <w:t>Show one task, one decision, and one visible system state.</w:t>
      </w:r>
    </w:p>
    <w:p>
      <w:pPr>
        <w:spacing w:before="60" w:after="60" w:line="240" w:lineRule="auto"/>
        <w:ind w:left="173" w:right="173"/>
        <w:shd w:fill="F3F5F7" w:val="clear"/>
        <w:pBdr>
          <w:left w:val="single" w:sz="16" w:space="8" w:color="2E74B5"/>
        </w:pBdr>
      </w:pPr>
      <w:r>
        <w:rPr>
          <w:rFonts w:ascii="Consolas" w:hAnsi="Consolas"/>
          <w:color w:val="202124"/>
          <w:sz w:val="16"/>
        </w:rPr>
        <w:t>await requirePortfolioAdmin();</w:t>
        <w:br/>
        <w:t>const { data, error } = await supabase.rpc("portfolio_save_draft", {</w:t>
        <w:br/>
        <w:t xml:space="preserve">  p_project_id: projectId,</w:t>
        <w:br/>
        <w:t xml:space="preserve">  p_expected_lock_version: draft.lockVersion,</w:t>
        <w:br/>
        <w:t xml:space="preserve">  p_payload: toSavePayload(draft),</w:t>
        <w:br/>
        <w:t>});</w:t>
      </w:r>
    </w:p>
    <w:p>
      <w:pPr>
        <w:spacing w:before="0" w:after="160" w:line="252" w:lineRule="auto"/>
      </w:pPr>
      <w:r>
        <w:rPr>
          <w:rFonts w:ascii="Calibri" w:hAnsi="Calibri"/>
          <w:i/>
          <w:color w:val="5F6368"/>
          <w:sz w:val="16"/>
        </w:rPr>
        <w:t>The editor delegates authorization and conflict protection to a database function. A stale tab cannot overwrite newer work.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202124"/>
          <w:sz w:val="19"/>
        </w:rPr>
        <w:t>Recovery by design.</w:t>
      </w:r>
      <w:r>
        <w:rPr>
          <w:rFonts w:ascii="Calibri" w:hAnsi="Calibri"/>
          <w:color w:val="202124"/>
          <w:sz w:val="19"/>
        </w:rPr>
        <w:t xml:space="preserve"> Published versions are immutable backups; restoring one never changes the live project until it is published again.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202124"/>
          <w:sz w:val="19"/>
        </w:rPr>
        <w:t>Safe public surface.</w:t>
      </w:r>
      <w:r>
        <w:rPr>
          <w:rFonts w:ascii="Calibri" w:hAnsi="Calibri"/>
          <w:color w:val="202124"/>
          <w:sz w:val="19"/>
        </w:rPr>
        <w:t xml:space="preserve"> Sanitized views expose only published fields; draft and admin data remain private.</w:t>
      </w:r>
    </w:p>
    <w:p>
      <w:pPr>
        <w:sectPr>
          <w:headerReference w:type="default" r:id="rId24"/>
          <w:headerReference w:type="even" r:id="rId25"/>
          <w:headerReference w:type="first" r:id="rId26"/>
          <w:footerReference w:type="default" r:id="rId27"/>
          <w:footerReference w:type="even" r:id="rId28"/>
          <w:footerReference w:type="first" r:id="rId2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0" w:after="100" w:line="240" w:lineRule="auto"/>
        <w:keepNext/>
      </w:pPr>
      <w:r>
        <w:rPr>
          <w:rFonts w:ascii="Calibri" w:hAnsi="Calibri"/>
          <w:b/>
          <w:color w:val="2E74B5"/>
          <w:sz w:val="18"/>
        </w:rPr>
        <w:t>03 · PLATFORM ARCHITECTURE</w:t>
      </w:r>
    </w:p>
    <w:p>
      <w:pPr>
        <w:pStyle w:val="Heading1"/>
      </w:pPr>
      <w:r>
        <w:t>Show tasks. Hide infrastructure complexity.</w:t>
      </w:r>
    </w:p>
    <w:p>
      <w:pPr>
        <w:spacing w:before="0" w:after="120" w:line="293" w:lineRule="auto"/>
      </w:pPr>
      <w:r>
        <w:rPr>
          <w:rFonts w:ascii="Calibri" w:hAnsi="Calibri"/>
          <w:color w:val="202124"/>
          <w:sz w:val="20"/>
        </w:rPr>
        <w:t>Users interact with clear workflows. The platform coordinates data, identity, object storage, background processing, email, AI models, and delivery behind those workflows.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571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rchitectur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jc w:val="center"/>
      </w:pPr>
      <w:r>
        <w:rPr>
          <w:rFonts w:ascii="Calibri" w:hAnsi="Calibri"/>
          <w:i/>
          <w:color w:val="5F6368"/>
          <w:sz w:val="16"/>
        </w:rPr>
        <w:t>System model · Experience, workflow, and cloud layers remain modular.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1788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-gri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78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jc w:val="center"/>
      </w:pPr>
      <w:r>
        <w:rPr>
          <w:rFonts w:ascii="Calibri" w:hAnsi="Calibri"/>
          <w:i/>
          <w:color w:val="5F6368"/>
          <w:sz w:val="16"/>
        </w:rPr>
        <w:t>Six product modules share identity, media, content, and system feedback.</w:t>
      </w:r>
    </w:p>
    <w:p>
      <w:pPr>
        <w:spacing w:before="60" w:after="60" w:line="240" w:lineRule="auto"/>
        <w:ind w:left="173" w:right="173"/>
        <w:shd w:fill="F3F5F7" w:val="clear"/>
        <w:pBdr>
          <w:left w:val="single" w:sz="16" w:space="8" w:color="2E74B5"/>
        </w:pBdr>
      </w:pPr>
      <w:r>
        <w:rPr>
          <w:rFonts w:ascii="Consolas" w:hAnsi="Consolas"/>
          <w:color w:val="202124"/>
          <w:sz w:val="16"/>
        </w:rPr>
        <w:t>const questionEmbedding = await createEmbedding(searchQuery);</w:t>
        <w:br/>
        <w:t>const { data } = await supabase.rpc("match_obsidian_chunks", {</w:t>
        <w:br/>
        <w:t xml:space="preserve">  query_embedding: questionEmbedding,</w:t>
        <w:br/>
        <w:t xml:space="preserve">  match_count: 12,</w:t>
        <w:br/>
        <w:t xml:space="preserve">  match_threshold: 0.16,</w:t>
        <w:br/>
        <w:t xml:space="preserve">  public_only: publicOnly,</w:t>
        <w:br/>
        <w:t>});</w:t>
      </w:r>
    </w:p>
    <w:p>
      <w:pPr>
        <w:spacing w:before="0" w:after="160" w:line="252" w:lineRule="auto"/>
      </w:pPr>
      <w:r>
        <w:rPr>
          <w:rFonts w:ascii="Calibri" w:hAnsi="Calibri"/>
          <w:i/>
          <w:color w:val="5F6368"/>
          <w:sz w:val="16"/>
        </w:rPr>
        <w:t>The knowledge assistant retrieves only permitted note chunks before it generates a cited answer.</w:t>
      </w:r>
    </w:p>
    <w:p>
      <w:pPr>
        <w:sectPr>
          <w:headerReference w:type="default" r:id="rId32"/>
          <w:headerReference w:type="even" r:id="rId33"/>
          <w:headerReference w:type="first" r:id="rId34"/>
          <w:footerReference w:type="default" r:id="rId35"/>
          <w:footerReference w:type="even" r:id="rId36"/>
          <w:footerReference w:type="first" r:id="rId37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0" w:after="100" w:line="240" w:lineRule="auto"/>
        <w:keepNext/>
      </w:pPr>
      <w:r>
        <w:rPr>
          <w:rFonts w:ascii="Calibri" w:hAnsi="Calibri"/>
          <w:b/>
          <w:color w:val="2E74B5"/>
          <w:sz w:val="18"/>
        </w:rPr>
        <w:t>04 · INTERACTION DESIGN</w:t>
      </w:r>
    </w:p>
    <w:p>
      <w:pPr>
        <w:pStyle w:val="Heading1"/>
      </w:pPr>
      <w:r>
        <w:t>Make complex systems feel calm.</w:t>
      </w:r>
    </w:p>
    <w:p>
      <w:pPr>
        <w:spacing w:before="0" w:after="120" w:line="293" w:lineRule="auto"/>
      </w:pPr>
      <w:r>
        <w:rPr>
          <w:rFonts w:ascii="Calibri" w:hAnsi="Calibri"/>
          <w:color w:val="202124"/>
          <w:sz w:val="20"/>
        </w:rPr>
        <w:t>The interface is organized around tasks and system states. Each screen should answer three questions: What can I do? What is happening? How can I recover?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1074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-artifacts-placeholder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07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Calibri" w:hAnsi="Calibri"/>
          <w:i/>
          <w:color w:val="5F6368"/>
          <w:sz w:val="16"/>
        </w:rPr>
        <w:t>Portfolio artifact placeholders · Replace with real storyboard, wireframe, and prototype frames.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202124"/>
          <w:sz w:val="19"/>
        </w:rPr>
        <w:t>Progressive disclosure.</w:t>
      </w:r>
      <w:r>
        <w:rPr>
          <w:rFonts w:ascii="Calibri" w:hAnsi="Calibri"/>
          <w:color w:val="202124"/>
          <w:sz w:val="19"/>
        </w:rPr>
        <w:t xml:space="preserve"> Show essential controls first; reveal advanced settings when needed.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202124"/>
          <w:sz w:val="19"/>
        </w:rPr>
        <w:t>Consistent status language.</w:t>
      </w:r>
      <w:r>
        <w:rPr>
          <w:rFonts w:ascii="Calibri" w:hAnsi="Calibri"/>
          <w:color w:val="202124"/>
          <w:sz w:val="19"/>
        </w:rPr>
        <w:t xml:space="preserve"> Draft, processing, published, failed, and recovered mean the same across tools.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202124"/>
          <w:sz w:val="19"/>
        </w:rPr>
        <w:t>Reversible actions.</w:t>
      </w:r>
      <w:r>
        <w:rPr>
          <w:rFonts w:ascii="Calibri" w:hAnsi="Calibri"/>
          <w:color w:val="202124"/>
          <w:sz w:val="19"/>
        </w:rPr>
        <w:t xml:space="preserve"> Version history, protected media, and explicit publishing reduce destructive mistakes.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202124"/>
          <w:sz w:val="19"/>
        </w:rPr>
        <w:t>Accessible by default.</w:t>
      </w:r>
      <w:r>
        <w:rPr>
          <w:rFonts w:ascii="Calibri" w:hAnsi="Calibri"/>
          <w:color w:val="202124"/>
          <w:sz w:val="19"/>
        </w:rPr>
        <w:t xml:space="preserve"> Semantic controls, keyboard access, alt text, reduced motion, and responsive layouts.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202124"/>
          <w:sz w:val="19"/>
        </w:rPr>
        <w:t>Shared patterns.</w:t>
      </w:r>
      <w:r>
        <w:rPr>
          <w:rFonts w:ascii="Calibri" w:hAnsi="Calibri"/>
          <w:color w:val="202124"/>
          <w:sz w:val="19"/>
        </w:rPr>
        <w:t xml:space="preserve"> Layouts, blocks, tokens, validation, feedback, and empty states form the product language.</w:t>
      </w:r>
    </w:p>
    <w:p>
      <w:pPr>
        <w:pStyle w:val="Heading2"/>
      </w:pPr>
      <w:r>
        <w:t>Enterprise patterns, clearly bounded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00"/>
        <w:gridCol w:w="36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Capability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Working prototype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Enterprise validation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202124"/>
                <w:sz w:val="17"/>
              </w:rPr>
              <w:t>Access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Supabase Auth, RLS and server-only privileged keys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Organization tenancy, SSO and audit logs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202124"/>
                <w:sz w:val="17"/>
              </w:rPr>
              <w:t>Reliability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Immutable publish backups, queue retries and recovery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SLOs, incident runbooks and disaster recovery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202124"/>
                <w:sz w:val="17"/>
              </w:rPr>
              <w:t>Data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Public/private views and signed media uploads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Retention, governance and regional policy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202124"/>
                <w:sz w:val="17"/>
              </w:rPr>
              <w:t>Quality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Focused unit and end-to-end tests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202124"/>
                <w:sz w:val="17"/>
              </w:rPr>
              <w:t>CI gates, load tests and formal accessibility audit</w:t>
            </w:r>
          </w:p>
        </w:tc>
      </w:tr>
    </w:tbl>
    <w:p>
      <w:pPr>
        <w:spacing w:before="80" w:after="140" w:line="240" w:lineRule="auto"/>
      </w:pPr>
      <w:r>
        <w:rPr>
          <w:rFonts w:ascii="Calibri" w:hAnsi="Calibri"/>
          <w:i/>
          <w:color w:val="5F6368"/>
          <w:sz w:val="16"/>
        </w:rPr>
        <w:t>Positioning: enterprise-pattern product prototype—not a claim of enterprise deployment or scale.</w:t>
      </w:r>
    </w:p>
    <w:p>
      <w:pPr>
        <w:sectPr>
          <w:headerReference w:type="default" r:id="rId40"/>
          <w:headerReference w:type="even" r:id="rId41"/>
          <w:headerReference w:type="first" r:id="rId42"/>
          <w:footerReference w:type="default" r:id="rId43"/>
          <w:footerReference w:type="even" r:id="rId44"/>
          <w:footerReference w:type="first" r:id="rId45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0" w:after="100" w:line="240" w:lineRule="auto"/>
        <w:keepNext/>
      </w:pPr>
      <w:r>
        <w:rPr>
          <w:rFonts w:ascii="Calibri" w:hAnsi="Calibri"/>
          <w:b/>
          <w:color w:val="2E74B5"/>
          <w:sz w:val="18"/>
        </w:rPr>
        <w:t>05 · REFLECTION</w:t>
      </w:r>
    </w:p>
    <w:p>
      <w:pPr>
        <w:pStyle w:val="Heading1"/>
      </w:pPr>
      <w:r>
        <w:t>A working product—and a clearer design practice.</w:t>
      </w:r>
    </w:p>
    <w:p>
      <w:pPr>
        <w:spacing w:before="0" w:after="120" w:line="293" w:lineRule="auto"/>
      </w:pPr>
      <w:r>
        <w:rPr>
          <w:rFonts w:ascii="Calibri" w:hAnsi="Calibri"/>
          <w:color w:val="202124"/>
          <w:sz w:val="20"/>
        </w:rPr>
        <w:t>The prototype proves that publishing, communication, media, analytics, knowledge, and experimentation can share one coherent system. It also exposed where exploration must become product discipline.</w:t>
      </w:r>
    </w:p>
    <w:p>
      <w:pPr>
        <w:spacing w:before="0" w:after="20" w:line="274" w:lineRule="auto"/>
      </w:pPr>
      <w:r>
        <w:rPr>
          <w:rFonts w:ascii="Calibri" w:hAnsi="Calibri"/>
          <w:b/>
          <w:color w:val="2E74B5"/>
          <w:sz w:val="19"/>
        </w:rPr>
        <w:t xml:space="preserve">MISTAKE  </w:t>
      </w:r>
      <w:r>
        <w:rPr>
          <w:rFonts w:ascii="Calibri" w:hAnsi="Calibri"/>
          <w:color w:val="202124"/>
          <w:sz w:val="19"/>
        </w:rPr>
        <w:t>I over-normalized the first portfolio schema.</w:t>
      </w:r>
    </w:p>
    <w:p>
      <w:pPr>
        <w:spacing w:before="0" w:after="100" w:line="274" w:lineRule="auto"/>
      </w:pPr>
      <w:r>
        <w:rPr>
          <w:rFonts w:ascii="Calibri" w:hAnsi="Calibri"/>
          <w:b/>
          <w:color w:val="2E74B5"/>
          <w:sz w:val="19"/>
        </w:rPr>
        <w:t xml:space="preserve">LESSON  </w:t>
      </w:r>
      <w:r>
        <w:rPr>
          <w:rFonts w:ascii="Calibri" w:hAnsi="Calibri"/>
          <w:color w:val="202124"/>
          <w:sz w:val="19"/>
        </w:rPr>
        <w:t>I learned that a portable document snapshot can be safer and easier to author than maximum relational purity.</w:t>
      </w:r>
    </w:p>
    <w:p>
      <w:pPr>
        <w:spacing w:before="0" w:after="20" w:line="274" w:lineRule="auto"/>
      </w:pPr>
      <w:r>
        <w:rPr>
          <w:rFonts w:ascii="Calibri" w:hAnsi="Calibri"/>
          <w:b/>
          <w:color w:val="2E74B5"/>
          <w:sz w:val="19"/>
        </w:rPr>
        <w:t xml:space="preserve">MISTAKE  </w:t>
      </w:r>
      <w:r>
        <w:rPr>
          <w:rFonts w:ascii="Calibri" w:hAnsi="Calibri"/>
          <w:color w:val="202124"/>
          <w:sz w:val="19"/>
        </w:rPr>
        <w:t>I let experiments grow into large components.</w:t>
      </w:r>
    </w:p>
    <w:p>
      <w:pPr>
        <w:spacing w:before="0" w:after="100" w:line="274" w:lineRule="auto"/>
      </w:pPr>
      <w:r>
        <w:rPr>
          <w:rFonts w:ascii="Calibri" w:hAnsi="Calibri"/>
          <w:b/>
          <w:color w:val="2E74B5"/>
          <w:sz w:val="19"/>
        </w:rPr>
        <w:t xml:space="preserve">LESSON  </w:t>
      </w:r>
      <w:r>
        <w:rPr>
          <w:rFonts w:ascii="Calibri" w:hAnsi="Calibri"/>
          <w:color w:val="202124"/>
          <w:sz w:val="19"/>
        </w:rPr>
        <w:t>I learned to extract state machines, hooks, primitives, and design tokens once an idea proves useful.</w:t>
      </w:r>
    </w:p>
    <w:p>
      <w:pPr>
        <w:spacing w:before="0" w:after="20" w:line="274" w:lineRule="auto"/>
      </w:pPr>
      <w:r>
        <w:rPr>
          <w:rFonts w:ascii="Calibri" w:hAnsi="Calibri"/>
          <w:b/>
          <w:color w:val="2E74B5"/>
          <w:sz w:val="19"/>
        </w:rPr>
        <w:t xml:space="preserve">MISTAKE  </w:t>
      </w:r>
      <w:r>
        <w:rPr>
          <w:rFonts w:ascii="Calibri" w:hAnsi="Calibri"/>
          <w:color w:val="202124"/>
          <w:sz w:val="19"/>
        </w:rPr>
        <w:t>Quality gates arrived too late.</w:t>
      </w:r>
    </w:p>
    <w:p>
      <w:pPr>
        <w:spacing w:before="0" w:after="100" w:line="274" w:lineRule="auto"/>
      </w:pPr>
      <w:r>
        <w:rPr>
          <w:rFonts w:ascii="Calibri" w:hAnsi="Calibri"/>
          <w:b/>
          <w:color w:val="2E74B5"/>
          <w:sz w:val="19"/>
        </w:rPr>
        <w:t xml:space="preserve">LESSON  </w:t>
      </w:r>
      <w:r>
        <w:rPr>
          <w:rFonts w:ascii="Calibri" w:hAnsi="Calibri"/>
          <w:color w:val="202124"/>
          <w:sz w:val="19"/>
        </w:rPr>
        <w:t>I learned that tests, type checks, linting, builds, security checks, and documentation must run as one system.</w:t>
      </w:r>
    </w:p>
    <w:p>
      <w:pPr>
        <w:spacing w:before="0" w:after="20" w:line="274" w:lineRule="auto"/>
      </w:pPr>
      <w:r>
        <w:rPr>
          <w:rFonts w:ascii="Calibri" w:hAnsi="Calibri"/>
          <w:b/>
          <w:color w:val="2E74B5"/>
          <w:sz w:val="19"/>
        </w:rPr>
        <w:t xml:space="preserve">MISTAKE  </w:t>
      </w:r>
      <w:r>
        <w:rPr>
          <w:rFonts w:ascii="Calibri" w:hAnsi="Calibri"/>
          <w:color w:val="202124"/>
          <w:sz w:val="19"/>
        </w:rPr>
        <w:t>Publishing exposed operational gaps.</w:t>
      </w:r>
    </w:p>
    <w:p>
      <w:pPr>
        <w:spacing w:before="0" w:after="100" w:line="274" w:lineRule="auto"/>
      </w:pPr>
      <w:r>
        <w:rPr>
          <w:rFonts w:ascii="Calibri" w:hAnsi="Calibri"/>
          <w:b/>
          <w:color w:val="2E74B5"/>
          <w:sz w:val="19"/>
        </w:rPr>
        <w:t xml:space="preserve">LESSON  </w:t>
      </w:r>
      <w:r>
        <w:rPr>
          <w:rFonts w:ascii="Calibri" w:hAnsi="Calibri"/>
          <w:color w:val="202124"/>
          <w:sz w:val="19"/>
        </w:rPr>
        <w:t>I learned that cache freshness, staging access, observability, and recovery are part of the user experience.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12858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rprise-roadmap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Calibri" w:hAnsi="Calibri"/>
          <w:i/>
          <w:color w:val="5F6368"/>
          <w:sz w:val="16"/>
        </w:rPr>
        <w:t>Scale is a validation path, not a visual claim.</w:t>
      </w:r>
    </w:p>
    <w:p>
      <w:pPr>
        <w:pStyle w:val="Heading2"/>
      </w:pPr>
      <w:r>
        <w:t>Why this aligns with Google ACI UX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124"/>
          <w:sz w:val="19"/>
        </w:rPr>
        <w:t>Translates complex technical systems into understandable user flows.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124"/>
          <w:sz w:val="19"/>
        </w:rPr>
        <w:t>Connects storyboards, wireframes, prototypes, specifications, and implementation.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124"/>
          <w:sz w:val="19"/>
        </w:rPr>
        <w:t>Balances user needs with security, reliability, storage, compute, and operational constraints.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124"/>
          <w:sz w:val="19"/>
        </w:rPr>
        <w:t>Demonstrates end-to-end ownership: concept, system design, build, measurement, and iteration.</w:t>
      </w:r>
    </w:p>
    <w:p>
      <w:pPr>
        <w:spacing w:before="80" w:after="200" w:line="288" w:lineRule="auto"/>
        <w:ind w:left="259" w:right="173"/>
        <w:shd w:fill="E8F0FE" w:val="clear"/>
        <w:pBdr>
          <w:left w:val="single" w:sz="20" w:space="10" w:color="2E74B5"/>
        </w:pBdr>
      </w:pPr>
      <w:r>
        <w:rPr>
          <w:rFonts w:ascii="Calibri" w:hAnsi="Calibri"/>
          <w:b/>
          <w:color w:val="2E74B5"/>
          <w:sz w:val="17"/>
        </w:rPr>
        <w:t>ROLE FIT</w:t>
        <w:br/>
      </w:r>
      <w:r>
        <w:rPr>
          <w:rFonts w:ascii="Calibri" w:hAnsi="Calibri"/>
          <w:b/>
          <w:color w:val="202124"/>
          <w:sz w:val="22"/>
        </w:rPr>
        <w:t>The domain is creative operations. The transferable skill is designing clarity, control, and trust across a complex cloud-backed system.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13215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placeholder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21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jc w:val="center"/>
      </w:pPr>
      <w:r>
        <w:rPr>
          <w:rFonts w:ascii="Calibri" w:hAnsi="Calibri"/>
          <w:i/>
          <w:color w:val="5F6368"/>
          <w:sz w:val="16"/>
        </w:rPr>
        <w:t>Closing visual placeholder · Add product link or QR code when the case study is published.</w:t>
      </w:r>
    </w:p>
    <w:sectPr w:rsidR="00FC693F" w:rsidRPr="0006063C" w:rsidSect="00034616">
      <w:headerReference w:type="default" r:id="rId47"/>
      <w:headerReference w:type="even" r:id="rId48"/>
      <w:headerReference w:type="first" r:id="rId49"/>
      <w:footerReference w:type="default" r:id="rId50"/>
      <w:footerReference w:type="even" r:id="rId51"/>
      <w:footerReference w:type="first" r:id="rId5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/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/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/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/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/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/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/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/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/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/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/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/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/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/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/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/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/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/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/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/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/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/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/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/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/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/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/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/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header" Target="header4.xml"/><Relationship Id="rId17" Type="http://schemas.openxmlformats.org/officeDocument/2006/relationships/header" Target="header5.xml"/><Relationship Id="rId18" Type="http://schemas.openxmlformats.org/officeDocument/2006/relationships/header" Target="header6.xml"/><Relationship Id="rId19" Type="http://schemas.openxmlformats.org/officeDocument/2006/relationships/footer" Target="footer4.xml"/><Relationship Id="rId20" Type="http://schemas.openxmlformats.org/officeDocument/2006/relationships/footer" Target="footer5.xml"/><Relationship Id="rId21" Type="http://schemas.openxmlformats.org/officeDocument/2006/relationships/footer" Target="footer6.xml"/><Relationship Id="rId22" Type="http://schemas.openxmlformats.org/officeDocument/2006/relationships/image" Target="media/image2.png"/><Relationship Id="rId23" Type="http://schemas.openxmlformats.org/officeDocument/2006/relationships/image" Target="media/image3.png"/><Relationship Id="rId24" Type="http://schemas.openxmlformats.org/officeDocument/2006/relationships/header" Target="header7.xml"/><Relationship Id="rId25" Type="http://schemas.openxmlformats.org/officeDocument/2006/relationships/header" Target="header8.xml"/><Relationship Id="rId26" Type="http://schemas.openxmlformats.org/officeDocument/2006/relationships/header" Target="header9.xml"/><Relationship Id="rId27" Type="http://schemas.openxmlformats.org/officeDocument/2006/relationships/footer" Target="footer7.xml"/><Relationship Id="rId28" Type="http://schemas.openxmlformats.org/officeDocument/2006/relationships/footer" Target="footer8.xml"/><Relationship Id="rId29" Type="http://schemas.openxmlformats.org/officeDocument/2006/relationships/footer" Target="footer9.xml"/><Relationship Id="rId30" Type="http://schemas.openxmlformats.org/officeDocument/2006/relationships/image" Target="media/image4.png"/><Relationship Id="rId31" Type="http://schemas.openxmlformats.org/officeDocument/2006/relationships/image" Target="media/image5.png"/><Relationship Id="rId32" Type="http://schemas.openxmlformats.org/officeDocument/2006/relationships/header" Target="header10.xml"/><Relationship Id="rId33" Type="http://schemas.openxmlformats.org/officeDocument/2006/relationships/header" Target="header11.xml"/><Relationship Id="rId34" Type="http://schemas.openxmlformats.org/officeDocument/2006/relationships/header" Target="header12.xml"/><Relationship Id="rId35" Type="http://schemas.openxmlformats.org/officeDocument/2006/relationships/footer" Target="footer10.xml"/><Relationship Id="rId36" Type="http://schemas.openxmlformats.org/officeDocument/2006/relationships/footer" Target="footer11.xml"/><Relationship Id="rId37" Type="http://schemas.openxmlformats.org/officeDocument/2006/relationships/footer" Target="footer12.xml"/><Relationship Id="rId38" Type="http://schemas.openxmlformats.org/officeDocument/2006/relationships/image" Target="media/image6.png"/><Relationship Id="rId39" Type="http://schemas.openxmlformats.org/officeDocument/2006/relationships/image" Target="media/image7.png"/><Relationship Id="rId40" Type="http://schemas.openxmlformats.org/officeDocument/2006/relationships/header" Target="header13.xml"/><Relationship Id="rId41" Type="http://schemas.openxmlformats.org/officeDocument/2006/relationships/header" Target="header14.xml"/><Relationship Id="rId42" Type="http://schemas.openxmlformats.org/officeDocument/2006/relationships/header" Target="header15.xml"/><Relationship Id="rId43" Type="http://schemas.openxmlformats.org/officeDocument/2006/relationships/footer" Target="footer13.xml"/><Relationship Id="rId44" Type="http://schemas.openxmlformats.org/officeDocument/2006/relationships/footer" Target="footer14.xml"/><Relationship Id="rId45" Type="http://schemas.openxmlformats.org/officeDocument/2006/relationships/footer" Target="footer15.xml"/><Relationship Id="rId46" Type="http://schemas.openxmlformats.org/officeDocument/2006/relationships/image" Target="media/image8.png"/><Relationship Id="rId47" Type="http://schemas.openxmlformats.org/officeDocument/2006/relationships/header" Target="header16.xml"/><Relationship Id="rId48" Type="http://schemas.openxmlformats.org/officeDocument/2006/relationships/header" Target="header17.xml"/><Relationship Id="rId49" Type="http://schemas.openxmlformats.org/officeDocument/2006/relationships/header" Target="header18.xml"/><Relationship Id="rId50" Type="http://schemas.openxmlformats.org/officeDocument/2006/relationships/footer" Target="footer16.xml"/><Relationship Id="rId51" Type="http://schemas.openxmlformats.org/officeDocument/2006/relationships/footer" Target="footer17.xml"/><Relationship Id="rId52" Type="http://schemas.openxmlformats.org/officeDocument/2006/relationships/footer" Target="footer18.xml"/><Relationship Id="rId53" Type="http://schemas.openxmlformats.org/officeDocument/2006/relationships/image" Target="media/image9.png"/><Relationship Id="rId5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Creative Operations Platform — Interaction Design Case Study</dc:title>
  <dc:subject>Enterprise-pattern product prototype aligned to interaction design roles</dc:subject>
  <dc:creator>Abodid Sahoo</dc:creator>
  <cp:keywords>UX, interaction design, enterprise prototype, creative technology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