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center"/>
        <w:spacing w:before="0" w:after="95" w:line="260" w:lineRule="auto"/>
      </w:pPr>
      <w:r>
        <w:rPr>
          <w:rFonts w:ascii="Arial" w:hAnsi="Arial" w:cs="Arial" w:eastAsia="Arial"/>
          <w:rtl/>
          <w:lang w:bidi="ar-QA"/>
          <w:b/>
          <w:bCs/>
          <w:sz w:val="30"/>
          <w:szCs w:val="30"/>
          <w:color w:val="920D39"/>
        </w:rPr>
        <w:t xml:space="preserve">التقرير الكمي والوصفي للمدرسة كاملة</w:t>
      </w:r>
    </w:p>
    <w:p>
      <w:pPr>
        <w:bidi/>
        <w:jc w:val="center"/>
        <w:spacing w:before="0" w:after="95" w:line="260" w:lineRule="auto"/>
      </w:pPr>
      <w:r>
        <w:rPr>
          <w:rFonts w:ascii="Arial" w:hAnsi="Arial" w:cs="Arial" w:eastAsia="Arial"/>
          <w:rtl/>
          <w:lang w:bidi="ar-QA"/>
          <w:b/>
          <w:bCs/>
          <w:sz w:val="20"/>
          <w:szCs w:val="20"/>
          <w:color w:val="172D3C"/>
        </w:rPr>
        <w:t xml:space="preserve">تحليل نتائج الاختبار الحالي — العام الأكاديمي 2026/2027</w:t>
      </w:r>
    </w:p>
    <w:p>
      <w:pPr>
        <w:bidi/>
        <w:jc w:val="right"/>
        <w:spacing w:before="0" w:after="90" w:line="260" w:lineRule="auto"/>
      </w:pPr>
      <w:r>
        <w:rPr>
          <w:rFonts w:ascii="Arial" w:hAnsi="Arial" w:cs="Arial" w:eastAsia="Arial"/>
          <w:rtl/>
          <w:lang w:bidi="ar-QA"/>
          <w:b/>
          <w:bCs/>
          <w:sz w:val="18"/>
          <w:szCs w:val="18"/>
          <w:color w:val="172D3C"/>
        </w:rPr>
        <w:t xml:space="preserve">اسم المدرسة: مدرسة اختبار الجودة — الصفوف السابع والثامن والتاسع</w:t>
      </w:r>
    </w:p>
    <w:p>
      <w:pPr>
        <w:bidi/>
        <w:jc w:val="right"/>
        <w:spacing w:before="0" w:after="70" w:line="260" w:lineRule="auto"/>
      </w:pPr>
      <w:r>
        <w:rPr>
          <w:rFonts w:ascii="Arial" w:hAnsi="Arial" w:cs="Arial" w:eastAsia="Arial"/>
          <w:rtl/>
          <w:lang w:bidi="ar-QA"/>
          <w:sz w:val="17"/>
          <w:szCs w:val="17"/>
          <w:color w:val="172D3C"/>
        </w:rPr>
        <w:t xml:space="preserve">المؤشرات تشمل جميع الأقسام والمواد والشعب المدرسية دون تقسيم إلى تقارير معلمين أو أقسام؛ لا يُعدّ عدم الرصد صفرًا.</w:t>
      </w:r>
    </w:p>
    <w:tbl>
      <w:tblPr>
        <w:tblW w:w="15010" w:type="dxa"/>
        <w:tblLayout w:type="fixed"/>
        <w:bidiVisual/>
        <w:tblBorders>
          <w:top w:val="single" w:sz="6" w:color="9EA9B5"/>
          <w:left w:val="single" w:sz="6" w:color="9EA9B5"/>
          <w:bottom w:val="single" w:sz="6" w:color="9EA9B5"/>
          <w:right w:val="single" w:sz="6" w:color="9EA9B5"/>
          <w:insideH w:val="single" w:sz="5" w:color="B5C0C8"/>
          <w:insideV w:val="single" w:sz="5" w:color="B5C0C8"/>
        </w:tblBorders>
        <w:tblCellMar>
          <w:top w:w="80" w:type="dxa"/>
          <w:bottom w:w="80" w:type="dxa"/>
          <w:start w:w="75" w:type="dxa"/>
          <w:end w:w="75" w:type="dxa"/>
        </w:tblCellMar>
      </w:tblPr>
      <w:tblGrid>
        <w:gridCol w:w="4464"/>
        <w:gridCol w:w="2070"/>
        <w:gridCol w:w="2070"/>
        <w:gridCol w:w="2070"/>
        <w:gridCol w:w="2394"/>
        <w:gridCol w:w="1942"/>
      </w:tblGrid>
      <w:tr>
        <w:trPr>
          <w:tblHeader/>
        </w:trPr>
        <w:tc>
          <w:tcPr>
            <w:tcW w:w="4464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بنود التقرير</w:t>
            </w:r>
          </w:p>
        </w:tc>
        <w:tc>
          <w:tcPr>
            <w:tcW w:w="2070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السابع</w:t>
            </w:r>
          </w:p>
        </w:tc>
        <w:tc>
          <w:tcPr>
            <w:tcW w:w="2070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الثامن</w:t>
            </w:r>
          </w:p>
        </w:tc>
        <w:tc>
          <w:tcPr>
            <w:tcW w:w="2070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التاسع</w:t>
            </w:r>
          </w:p>
        </w:tc>
        <w:tc>
          <w:tcPr>
            <w:tcW w:w="2394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إجمالي المدرسة</w:t>
            </w:r>
          </w:p>
        </w:tc>
        <w:tc>
          <w:tcPr>
            <w:tcW w:w="1942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تحقيق المستهدف</w:t>
            </w:r>
          </w:p>
        </w:tc>
      </w:tr>
      <w:tr>
        <w:trPr/>
        <w:tc>
          <w:tcPr>
            <w:tcW w:w="446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نسبة النجاح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100.0%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100.0%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  <w:tc>
          <w:tcPr>
            <w:tcW w:w="239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100.0%</w:t>
            </w:r>
          </w:p>
        </w:tc>
        <w:tc>
          <w:tcPr>
            <w:tcW w:w="1942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متحقق</w:t>
            </w:r>
          </w:p>
        </w:tc>
      </w:tr>
      <w:tr>
        <w:trPr/>
        <w:tc>
          <w:tcPr>
            <w:tcW w:w="4464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التحصيل الأكاديمي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70.0%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80.0%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  <w:tc>
          <w:tcPr>
            <w:tcW w:w="2394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73.3%</w:t>
            </w:r>
          </w:p>
        </w:tc>
        <w:tc>
          <w:tcPr>
            <w:tcW w:w="1942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غير متحقق</w:t>
            </w:r>
          </w:p>
        </w:tc>
      </w:tr>
      <w:tr>
        <w:trPr/>
        <w:tc>
          <w:tcPr>
            <w:tcW w:w="446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تحصيل الاختبار السابق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50.0%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60.0%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  <w:tc>
          <w:tcPr>
            <w:tcW w:w="239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55.0%</w:t>
            </w:r>
          </w:p>
        </w:tc>
        <w:tc>
          <w:tcPr>
            <w:tcW w:w="1942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غير محدد</w:t>
            </w:r>
          </w:p>
        </w:tc>
      </w:tr>
      <w:tr>
        <w:trPr/>
        <w:tc>
          <w:tcPr>
            <w:tcW w:w="4464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القيمة المضافة (عينة مشتركة)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+20.0 نقطة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+20.0 نقطة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  <w:tc>
          <w:tcPr>
            <w:tcW w:w="2394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+20.0 نقطة</w:t>
            </w:r>
          </w:p>
        </w:tc>
        <w:tc>
          <w:tcPr>
            <w:tcW w:w="1942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غير محدد</w:t>
            </w:r>
          </w:p>
        </w:tc>
      </w:tr>
      <w:tr>
        <w:trPr/>
        <w:tc>
          <w:tcPr>
            <w:tcW w:w="446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نسبة نتائج 90% فأعلى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50.0%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0.0%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  <w:tc>
          <w:tcPr>
            <w:tcW w:w="239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33.3%</w:t>
            </w:r>
          </w:p>
        </w:tc>
        <w:tc>
          <w:tcPr>
            <w:tcW w:w="1942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غير محدد</w:t>
            </w:r>
          </w:p>
        </w:tc>
      </w:tr>
      <w:tr>
        <w:trPr/>
        <w:tc>
          <w:tcPr>
            <w:tcW w:w="4464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عدد النتائج المرصودة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2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1</w:t>
            </w:r>
          </w:p>
        </w:tc>
        <w:tc>
          <w:tcPr>
            <w:tcW w:w="2070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0</w:t>
            </w:r>
          </w:p>
        </w:tc>
        <w:tc>
          <w:tcPr>
            <w:tcW w:w="2394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3</w:t>
            </w:r>
          </w:p>
        </w:tc>
        <w:tc>
          <w:tcPr>
            <w:tcW w:w="1942" w:type="dxa"/>
            <w:shd w:fill="F1F5F6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</w:tr>
      <w:tr>
        <w:trPr/>
        <w:tc>
          <w:tcPr>
            <w:tcW w:w="446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عدد الطلاب المختلفين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1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2</w:t>
            </w:r>
          </w:p>
        </w:tc>
        <w:tc>
          <w:tcPr>
            <w:tcW w:w="2070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0</w:t>
            </w:r>
          </w:p>
        </w:tc>
        <w:tc>
          <w:tcPr>
            <w:tcW w:w="239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3</w:t>
            </w:r>
          </w:p>
        </w:tc>
        <w:tc>
          <w:tcPr>
            <w:tcW w:w="1942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—</w:t>
            </w:r>
          </w:p>
        </w:tc>
      </w:tr>
    </w:tbl>
    <w:p>
      <w:pPr>
        <w:bidi/>
        <w:jc w:val="right"/>
        <w:spacing w:before="0" w:after="110" w:line="260" w:lineRule="auto"/>
      </w:pPr>
      <w:r>
        <w:rPr>
          <w:rFonts w:ascii="Arial" w:hAnsi="Arial" w:cs="Arial" w:eastAsia="Arial"/>
          <w:rtl/>
          <w:lang w:bidi="ar-QA"/>
          <w:sz w:val="16"/>
          <w:szCs w:val="16"/>
          <w:color w:val="526B77"/>
        </w:rPr>
        <w:t xml:space="preserve">تنبيه منهجي: النسب مبنية على سجلات طالب × مادة مرصودة؛ العدد الفريد للطلاب يظهر مستقلًا، والقيمة المضافة تستعمل السجلات ذات نتيجتين فعليتين فقط.</w:t>
      </w:r>
    </w:p>
    <w:p>
      <w:pPr>
        <w:bidi/>
        <w:jc w:val="right"/>
        <w:spacing w:before="0" w:after="95" w:line="260" w:lineRule="auto"/>
        <w:keepNext/>
      </w:pPr>
      <w:r>
        <w:rPr>
          <w:rFonts w:ascii="Arial" w:hAnsi="Arial" w:cs="Arial" w:eastAsia="Arial"/>
          <w:rtl/>
          <w:lang w:bidi="ar-QA"/>
          <w:b/>
          <w:bCs/>
          <w:sz w:val="24"/>
          <w:szCs w:val="24"/>
          <w:color w:val="920D39"/>
        </w:rPr>
        <w:t xml:space="preserve">التحليل الوصفي لنتائج المدرسة</w:t>
      </w:r>
    </w:p>
    <w:p>
      <w:pPr>
        <w:bidi/>
        <w:jc w:val="right"/>
        <w:spacing w:before="0" w:after="90" w:line="260" w:lineRule="auto"/>
      </w:pPr>
      <w:r>
        <w:rPr>
          <w:rFonts w:ascii="Arial" w:hAnsi="Arial" w:cs="Arial" w:eastAsia="Arial"/>
          <w:rtl/>
          <w:lang w:bidi="ar-QA"/>
          <w:sz w:val="18"/>
          <w:szCs w:val="18"/>
          <w:color w:val="172D3C"/>
        </w:rPr>
        <w:t xml:space="preserve">تحليل اختبار الجودة</w:t>
      </w:r>
    </w:p>
    <w:p>
      <w:pPr>
        <w:bidi/>
        <w:jc w:val="right"/>
        <w:spacing w:before="0" w:after="95" w:line="260" w:lineRule="auto"/>
        <w:keepNext/>
      </w:pPr>
      <w:r>
        <w:rPr>
          <w:rFonts w:ascii="Arial" w:hAnsi="Arial" w:cs="Arial" w:eastAsia="Arial"/>
          <w:rtl/>
          <w:lang w:bidi="ar-QA"/>
          <w:b/>
          <w:bCs/>
          <w:sz w:val="24"/>
          <w:szCs w:val="24"/>
          <w:color w:val="920D39"/>
        </w:rPr>
        <w:t xml:space="preserve">التوصيات وخطة التحسين على مستوى المدرسة</w:t>
      </w:r>
    </w:p>
    <w:p>
      <w:pPr>
        <w:bidi/>
        <w:jc w:val="right"/>
        <w:spacing w:before="0" w:after="90" w:line="260" w:lineRule="auto"/>
      </w:pPr>
      <w:r>
        <w:rPr>
          <w:rFonts w:ascii="Arial" w:hAnsi="Arial" w:cs="Arial" w:eastAsia="Arial"/>
          <w:rtl/>
          <w:lang w:bidi="ar-QA"/>
          <w:sz w:val="18"/>
          <w:szCs w:val="18"/>
          <w:color w:val="172D3C"/>
        </w:rPr>
        <w:t xml:space="preserve">توصيات اختبار الجودة</w:t>
      </w:r>
    </w:p>
    <w:p>
      <w:pPr>
        <w:bidi/>
        <w:jc w:val="right"/>
        <w:spacing w:before="0" w:after="95" w:line="260" w:lineRule="auto"/>
        <w:keepNext/>
      </w:pPr>
      <w:r>
        <w:rPr>
          <w:rFonts w:ascii="Arial" w:hAnsi="Arial" w:cs="Arial" w:eastAsia="Arial"/>
          <w:rtl/>
          <w:lang w:bidi="ar-QA"/>
          <w:b/>
          <w:bCs/>
          <w:sz w:val="24"/>
          <w:szCs w:val="24"/>
          <w:color w:val="920D39"/>
        </w:rPr>
        <w:t xml:space="preserve">اعتماد التقرير</w:t>
      </w:r>
    </w:p>
    <w:tbl>
      <w:tblPr>
        <w:tblW w:w="15010" w:type="dxa"/>
        <w:tblLayout w:type="fixed"/>
        <w:bidiVisual/>
        <w:tblBorders>
          <w:top w:val="single" w:sz="6" w:color="9EA9B5"/>
          <w:left w:val="single" w:sz="6" w:color="9EA9B5"/>
          <w:bottom w:val="single" w:sz="6" w:color="9EA9B5"/>
          <w:right w:val="single" w:sz="6" w:color="9EA9B5"/>
          <w:insideH w:val="single" w:sz="5" w:color="B5C0C8"/>
          <w:insideV w:val="single" w:sz="5" w:color="B5C0C8"/>
        </w:tblBorders>
        <w:tblCellMar>
          <w:top w:w="80" w:type="dxa"/>
          <w:bottom w:w="80" w:type="dxa"/>
          <w:start w:w="75" w:type="dxa"/>
          <w:end w:w="75" w:type="dxa"/>
        </w:tblCellMar>
      </w:tblPr>
      <w:tblGrid>
        <w:gridCol w:w="3993"/>
        <w:gridCol w:w="7023"/>
        <w:gridCol w:w="3994"/>
      </w:tblGrid>
      <w:tr>
        <w:trPr>
          <w:tblHeader/>
        </w:trPr>
        <w:tc>
          <w:tcPr>
            <w:tcW w:w="3993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جهة الاعتماد</w:t>
            </w:r>
          </w:p>
        </w:tc>
        <w:tc>
          <w:tcPr>
            <w:tcW w:w="7023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الاسم</w:t>
            </w:r>
          </w:p>
        </w:tc>
        <w:tc>
          <w:tcPr>
            <w:tcW w:w="3994" w:type="dxa"/>
            <w:shd w:fill="920D39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b/>
                <w:bCs/>
                <w:sz w:val="17"/>
                <w:szCs w:val="17"/>
                <w:color w:val="FFFFFF"/>
              </w:rPr>
              <w:t xml:space="preserve">التوقيع</w:t>
            </w:r>
          </w:p>
        </w:tc>
      </w:tr>
      <w:tr>
        <w:trPr/>
        <w:tc>
          <w:tcPr>
            <w:tcW w:w="3993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النائب الأكاديمي</w:t>
            </w:r>
          </w:p>
        </w:tc>
        <w:tc>
          <w:tcPr>
            <w:tcW w:w="7023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النائب التجريبي</w:t>
            </w:r>
          </w:p>
        </w:tc>
        <w:tc>
          <w:tcPr>
            <w:tcW w:w="399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........................</w:t>
            </w:r>
          </w:p>
        </w:tc>
      </w:tr>
      <w:tr>
        <w:trPr/>
        <w:tc>
          <w:tcPr>
            <w:tcW w:w="3993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مدير المدرسة</w:t>
            </w:r>
          </w:p>
        </w:tc>
        <w:tc>
          <w:tcPr>
            <w:tcW w:w="7023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المدير التجريبي</w:t>
            </w:r>
          </w:p>
        </w:tc>
        <w:tc>
          <w:tcPr>
            <w:tcW w:w="3994" w:type="dxa"/>
            <w:vAlign w:val="top"/>
          </w:tcPr>
          <w:p>
            <w:pPr>
              <w:bidi/>
              <w:jc w:val="right"/>
              <w:spacing w:before="0" w:after="28" w:line="260" w:lineRule="auto"/>
            </w:pPr>
            <w:r>
              <w:rPr>
                <w:rFonts w:ascii="Arial" w:hAnsi="Arial" w:cs="Arial" w:eastAsia="Arial"/>
                <w:rtl/>
                <w:lang w:bidi="ar-QA"/>
                <w:sz w:val="17"/>
                <w:szCs w:val="17"/>
                <w:color w:val="172D3C"/>
              </w:rPr>
              <w:t xml:space="preserve">........................</w:t>
            </w:r>
          </w:p>
        </w:tc>
      </w:tr>
    </w:tbl>
    <w:sectPr>
      <w:headerReference w:type="default" r:id="rId2"/>
      <w:footerReference w:type="default" r:id="rId3"/>
      <w:pgSz w:w="16838" w:h="11906" w:orient="landscape"/>
      <w:pgMar w:top="1300" w:right="910" w:bottom="960" w:left="910" w:header="240" w:footer="430"/>
    </w:sectPr>
  </w:body>
</w:document>
</file>

<file path=word/footer1.xml><?xml version="1.0" encoding="utf-8"?>
<w:ftr xmlns:w="http://schemas.openxmlformats.org/wordprocessingml/2006/main">
  <w:p>
    <w:pPr>
      <w:bidi/>
      <w:jc w:val="center"/>
      <w:spacing w:before="0" w:after="70" w:line="260" w:lineRule="auto"/>
    </w:pPr>
    <w:r>
      <w:rPr>
        <w:rFonts w:ascii="Arial" w:hAnsi="Arial" w:cs="Arial" w:eastAsia="Arial"/>
        <w:rtl/>
        <w:lang w:bidi="ar-QA"/>
        <w:sz w:val="14"/>
        <w:szCs w:val="14"/>
        <w:color w:val="666E77"/>
      </w:rPr>
      <w:t xml:space="preserve">مدرسة اختبار الجودة — وثيقة تربوية للمراجعة والاعتماد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bidi/>
      <w:jc w:val="left"/>
      <w:spacing w:after="80"/>
    </w:pPr>
    <w:r>
      <w:drawing>
        <wp:inline distT="0" distB="0" distL="0" distR="0">
          <wp:extent cx="4050000" cy="890000"/>
          <wp:docPr id="1" name="الشعار الرسمي لوزارة التربية والتعليم والتعليم العالي"/>
          <a:graphic>
            <a:graphicData uri="http://schemas.openxmlformats.org/drawingml/2006/picture">
              <pic:pic>
                <pic:nvPicPr>
                  <pic:cNvPr id="0" name="minis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50000" cy="89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rtl/>
        <w:lang w:bidi="ar-QA"/>
        <w:sz w:val="18"/>
        <w:szCs w:val="18"/>
      </w:rPr>
    </w:rPrDefault>
    <w:pPrDefault>
      <w:pPr>
        <w:bidi/>
        <w:jc w:val="right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ministry.png"/></Relationships>
</file>