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140" w:line="240" w:lineRule="auto"/>
        <w:jc w:val="center"/>
        <w:keepLines w:val="1"/>
        <w:widowControl w:val="1"/>
      </w:pPr>
      <w:r>
        <w:rPr>
          <w:rFonts w:ascii="Arial" w:hAnsi="Arial" w:eastAsia="Arial"/>
          <w:b/>
          <w:color w:val="C69A45"/>
          <w:sz w:val="28"/>
        </w:rPr>
        <w:t>00 · LEER PRIMERO</w:t>
      </w:r>
    </w:p>
    <w:p>
      <w:pPr>
        <w:spacing w:before="100" w:after="160" w:line="240" w:lineRule="auto"/>
        <w:jc w:val="center"/>
        <w:keepLines w:val="1"/>
        <w:widowControl w:val="1"/>
      </w:pPr>
      <w:r>
        <w:rPr>
          <w:rFonts w:ascii="Arial" w:hAnsi="Arial" w:eastAsia="Arial"/>
          <w:b/>
          <w:color w:val="17365D"/>
          <w:sz w:val="46"/>
        </w:rPr>
        <w:t>PROTOCOLO RECTOR CIVILISTA</w:t>
      </w:r>
    </w:p>
    <w:p>
      <w:pPr>
        <w:spacing w:before="0" w:after="360" w:line="252" w:lineRule="auto"/>
        <w:jc w:val="center"/>
        <w:keepLines w:val="1"/>
        <w:widowControl w:val="1"/>
      </w:pPr>
      <w:r>
        <w:rPr>
          <w:rFonts w:ascii="Arial" w:hAnsi="Arial" w:eastAsia="Arial"/>
          <w:b/>
          <w:color w:val="1F2937"/>
          <w:sz w:val="32"/>
        </w:rPr>
        <w:t>PROCESOS EJECUTIVOS CON PAGARÉ</w:t>
        <w:br/>
        <w:t>Y MEDIDAS CAUTELARES</w:t>
      </w:r>
    </w:p>
    <w:p>
      <w:pPr>
        <w:spacing w:before="0" w:after="440" w:line="264" w:lineRule="auto"/>
        <w:jc w:val="center"/>
        <w:keepLines w:val="1"/>
        <w:widowControl w:val="1"/>
      </w:pPr>
      <w:r>
        <w:rPr>
          <w:rFonts w:ascii="Arial" w:hAnsi="Arial" w:eastAsia="Arial"/>
          <w:b/>
          <w:color w:val="1F2937"/>
          <w:sz w:val="21"/>
        </w:rPr>
        <w:t>COOPERATIVA DE AHORRO Y CRÉDITO CREAR LTDA. – CREARCOOP</w:t>
        <w:br/>
        <w:t>ABOGADOS EN COLOMBIA S.A.S.</w:t>
      </w:r>
    </w:p>
    <w:tbl>
      <w:tblPr>
        <w:tblW w:type="auto" w:w="0"/>
        <w:jc w:val="center"/>
        <w:tblLayout w:type="autofit"/>
        <w:tblLook w:firstColumn="1" w:firstRow="1" w:lastColumn="0" w:lastRow="0" w:noHBand="0" w:noVBand="1" w:val="04A0"/>
      </w:tblPr>
      <w:tblGrid>
        <w:gridCol w:w="9576"/>
      </w:tblGrid>
      <w:tr>
        <w:trPr>
          <w:cantSplit/>
        </w:trPr>
        <w:tc>
          <w:tcPr>
            <w:tcW w:type="dxa" w:w="9576"/>
            <w:shd w:fill="F7F1E4"/>
            <w:tcMar>
              <w:top w:w="115" w:type="dxa"/>
              <w:start w:w="140" w:type="dxa"/>
              <w:bottom w:w="115" w:type="dxa"/>
              <w:end w:w="140" w:type="dxa"/>
            </w:tcMar>
          </w:tcPr>
          <w:p>
            <w:pPr>
              <w:spacing w:before="0" w:after="40" w:line="252" w:lineRule="auto"/>
              <w:keepLines w:val="1"/>
              <w:widowControl w:val="1"/>
            </w:pPr>
            <w:r>
              <w:rPr>
                <w:rFonts w:ascii="Arial" w:hAnsi="Arial" w:eastAsia="Arial"/>
                <w:b/>
                <w:color w:val="17365D"/>
                <w:sz w:val="19"/>
              </w:rPr>
              <w:t>MANDATO CENTRAL</w:t>
            </w:r>
          </w:p>
          <w:p>
            <w:pPr>
              <w:spacing w:before="0" w:after="0" w:line="259" w:lineRule="auto"/>
              <w:keepLines w:val="1"/>
              <w:widowControl w:val="1"/>
            </w:pPr>
            <w:r>
              <w:rPr>
                <w:rFonts w:ascii="Arial" w:hAnsi="Arial" w:eastAsia="Arial"/>
                <w:color w:val="1F2937"/>
                <w:sz w:val="19"/>
              </w:rPr>
              <w:t>Transformar anexos verificables en demandas ejecutivas y solicitudes cautelares breves, completas, coherentes y sostenibles; usar siempre las plantillas institucionales homologadas sin alterar su formato; impedir cualquier radicación con datos inventados, título defectuoso, poder inconsistente, competencia dudosa, prescripción, insolvencia no revisada, liquidación inconciliable, notificación defectuosa o cautela abusiva.</w:t>
            </w:r>
          </w:p>
        </w:tc>
      </w:tr>
    </w:tbl>
    <w:p>
      <w:pPr>
        <w:spacing w:before="0" w:after="0" w:line="240" w:lineRule="auto"/>
        <w:keepLines w:val="1"/>
        <w:widowControl w:val="1"/>
      </w:pPr>
    </w:p>
    <w:p>
      <w:pPr>
        <w:spacing w:before="320" w:after="40" w:line="288" w:lineRule="auto"/>
        <w:jc w:val="center"/>
        <w:keepLines w:val="1"/>
        <w:widowControl w:val="1"/>
      </w:pPr>
      <w:r>
        <w:rPr>
          <w:rFonts w:ascii="Arial" w:hAnsi="Arial" w:eastAsia="Arial"/>
          <w:b/>
          <w:color w:val="17365D"/>
          <w:sz w:val="19"/>
        </w:rPr>
        <w:t>Versión 2.0 · CANÓNICA</w:t>
        <w:br/>
      </w:r>
      <w:r>
        <w:rPr>
          <w:rFonts w:ascii="Arial" w:hAnsi="Arial" w:eastAsia="Arial"/>
          <w:b w:val="0"/>
          <w:color w:val="1F2937"/>
          <w:sz w:val="19"/>
        </w:rPr>
        <w:t>Fecha de corte normativo: 17 de julio de 2026</w:t>
        <w:br/>
      </w:r>
      <w:r>
        <w:rPr>
          <w:rFonts w:ascii="Arial" w:hAnsi="Arial" w:eastAsia="Arial"/>
          <w:b/>
          <w:color w:val="A61B1B"/>
          <w:sz w:val="19"/>
        </w:rPr>
        <w:t>Sustituye integralmente el protocolo maestro versión 1.0</w:t>
        <w:br/>
      </w:r>
      <w:r>
        <w:rPr>
          <w:rFonts w:ascii="Arial" w:hAnsi="Arial" w:eastAsia="Arial"/>
          <w:b w:val="0"/>
          <w:color w:val="1F2937"/>
          <w:sz w:val="19"/>
        </w:rPr>
        <w:t>Vigencia interna: desde su aprobación por Dirección Jurídica</w:t>
        <w:br/>
      </w:r>
      <w:r>
        <w:rPr>
          <w:rFonts w:ascii="Arial" w:hAnsi="Arial" w:eastAsia="Arial"/>
          <w:b w:val="0"/>
          <w:color w:val="1F2937"/>
          <w:sz w:val="19"/>
        </w:rPr>
        <w:t>Aprobó: __________________________  Fecha: ________________</w:t>
      </w:r>
    </w:p>
    <w:p>
      <w:pPr>
        <w:spacing w:before="540" w:after="0" w:line="240" w:lineRule="auto"/>
        <w:jc w:val="center"/>
        <w:keepLines w:val="1"/>
        <w:widowControl w:val="1"/>
      </w:pPr>
      <w:r>
        <w:rPr>
          <w:rFonts w:ascii="Arial" w:hAnsi="Arial" w:eastAsia="Arial"/>
          <w:b/>
          <w:i/>
          <w:color w:val="6B7280"/>
          <w:sz w:val="18"/>
        </w:rPr>
        <w:t>Documento autosuficiente. No depende de otro archivo “00_LEER_PRIMERO”.</w:t>
      </w:r>
    </w:p>
    <w:p>
      <w:pPr>
        <w:keepLines w:val="1"/>
        <w:widowControl w:val="1"/>
      </w:pPr>
      <w:r>
        <w:br w:type="page"/>
      </w:r>
    </w:p>
    <w:p>
      <w:pPr>
        <w:spacing w:before="220" w:after="100" w:line="240" w:lineRule="auto"/>
        <w:keepLines w:val="1"/>
        <w:widowControl w:val="1"/>
        <w:pBdr>
          <w:bottom w:val="single" w:sz="8" w:space="3" w:color="C69A45"/>
        </w:pBdr>
        <w:keepNext w:val="1"/>
      </w:pPr>
      <w:r>
        <w:rPr>
          <w:rFonts w:ascii="Arial" w:hAnsi="Arial" w:eastAsia="Arial"/>
          <w:b/>
          <w:color w:val="17365D"/>
          <w:sz w:val="25"/>
        </w:rPr>
        <w:t>1. NATURALEZA, PRELACIÓN Y ALCANCE</w:t>
      </w:r>
    </w:p>
    <w:tbl>
      <w:tblPr>
        <w:tblW w:type="auto" w:w="0"/>
        <w:jc w:val="center"/>
        <w:tblLayout w:type="autofit"/>
        <w:tblLook w:firstColumn="1" w:firstRow="1" w:lastColumn="0" w:lastRow="0" w:noHBand="0" w:noVBand="1" w:val="04A0"/>
      </w:tblPr>
      <w:tblGrid>
        <w:gridCol w:w="9576"/>
      </w:tblGrid>
      <w:tr>
        <w:trPr>
          <w:cantSplit/>
        </w:trPr>
        <w:tc>
          <w:tcPr>
            <w:tcW w:type="dxa" w:w="9576"/>
            <w:shd w:fill="EAF6EE"/>
            <w:tcMar>
              <w:top w:w="115" w:type="dxa"/>
              <w:start w:w="140" w:type="dxa"/>
              <w:bottom w:w="115" w:type="dxa"/>
              <w:end w:w="140" w:type="dxa"/>
            </w:tcMar>
          </w:tcPr>
          <w:p>
            <w:pPr>
              <w:spacing w:before="0" w:after="40" w:line="252" w:lineRule="auto"/>
              <w:keepLines w:val="1"/>
              <w:widowControl w:val="1"/>
            </w:pPr>
            <w:r>
              <w:rPr>
                <w:rFonts w:ascii="Arial" w:hAnsi="Arial" w:eastAsia="Arial"/>
                <w:b/>
                <w:color w:val="216E39"/>
                <w:sz w:val="19"/>
              </w:rPr>
              <w:t>REGLA RECTORA</w:t>
            </w:r>
          </w:p>
          <w:p>
            <w:pPr>
              <w:spacing w:before="0" w:after="0" w:line="259" w:lineRule="auto"/>
              <w:keepLines w:val="1"/>
              <w:widowControl w:val="1"/>
            </w:pPr>
            <w:r>
              <w:rPr>
                <w:rFonts w:ascii="Arial" w:hAnsi="Arial" w:eastAsia="Arial"/>
                <w:color w:val="1F2937"/>
                <w:sz w:val="19"/>
              </w:rPr>
              <w:t>Este archivo es el protocolo civilista rector, autosuficiente y de mayor jerarquía interna para los procesos ejecutivos con pagaré y sus medidas cautelares. Reemplaza el archivo “00_LEER_PRIMERO_PROTOCOLO_MAESTRO_DEMANDAS_CAUTELARES_CREARCOOP_2026” versión 1.0. No debe volver a solicitarse un protocolo rector adicional.</w:t>
            </w:r>
          </w:p>
        </w:tc>
      </w:tr>
    </w:tbl>
    <w:p>
      <w:pPr>
        <w:spacing w:before="0" w:after="0" w:line="240" w:lineRule="auto"/>
        <w:keepLines w:val="1"/>
        <w:widowControl w:val="1"/>
      </w:pPr>
    </w:p>
    <w:p>
      <w:pPr>
        <w:spacing w:before="0" w:after="100" w:line="269" w:lineRule="auto"/>
        <w:keepLines w:val="1"/>
        <w:widowControl w:val="1"/>
      </w:pPr>
      <w:r>
        <w:rPr>
          <w:rFonts w:ascii="Arial" w:hAnsi="Arial" w:eastAsia="Arial"/>
          <w:i w:val="0"/>
          <w:color w:val="1F2937"/>
          <w:sz w:val="20"/>
        </w:rPr>
        <w:t>El protocolo se aplica a la homologación, preparación, auditoría, radicación, subsanación y seguimiento de demandas ejecutivas promovidas por CREARCOOP, sin perjuicio de las reglas especiales que correspondan a libranzas, garantías mobiliarias, títulos electrónicos, codeudores, avalistas, insolvencia, sucesiones o arbitraje ejecutivo.</w:t>
      </w:r>
    </w:p>
    <w:p>
      <w:pPr>
        <w:spacing w:before="140" w:after="60" w:line="240" w:lineRule="auto"/>
        <w:keepLines w:val="1"/>
        <w:widowControl w:val="1"/>
        <w:keepNext w:val="1"/>
      </w:pPr>
      <w:r>
        <w:rPr>
          <w:rFonts w:ascii="Arial" w:hAnsi="Arial" w:eastAsia="Arial"/>
          <w:b/>
          <w:color w:val="17365D"/>
          <w:sz w:val="21"/>
        </w:rPr>
        <w:t>Orden de prevalencia</w:t>
      </w:r>
    </w:p>
    <w:p>
      <w:pPr>
        <w:pStyle w:val="ListNumber"/>
        <w:spacing w:after="52" w:line="259" w:lineRule="auto"/>
        <w:ind w:left="312" w:hanging="142"/>
        <w:keepLines w:val="1"/>
        <w:widowControl w:val="1"/>
      </w:pPr>
      <w:r>
        <w:rPr>
          <w:rFonts w:ascii="Arial" w:hAnsi="Arial" w:eastAsia="Arial"/>
          <w:color w:val="1F2937"/>
          <w:sz w:val="19"/>
        </w:rPr>
        <w:t>Constitución, ley, decreto y regulación vigente aplicable a la fecha de la actuación.</w:t>
      </w:r>
    </w:p>
    <w:p>
      <w:pPr>
        <w:pStyle w:val="ListNumber"/>
        <w:spacing w:after="52" w:line="259" w:lineRule="auto"/>
        <w:ind w:left="312" w:hanging="142"/>
        <w:keepLines w:val="1"/>
        <w:widowControl w:val="1"/>
      </w:pPr>
      <w:r>
        <w:rPr>
          <w:rFonts w:ascii="Arial" w:hAnsi="Arial" w:eastAsia="Arial"/>
          <w:color w:val="1F2937"/>
          <w:sz w:val="19"/>
        </w:rPr>
        <w:t>Documento original y registro oficial del caso: título, poder, certificado, contabilidad, registro, expediente o actuación concursal.</w:t>
      </w:r>
    </w:p>
    <w:p>
      <w:pPr>
        <w:pStyle w:val="ListNumber"/>
        <w:spacing w:after="52" w:line="259" w:lineRule="auto"/>
        <w:ind w:left="312" w:hanging="142"/>
        <w:keepLines w:val="1"/>
        <w:widowControl w:val="1"/>
      </w:pPr>
      <w:r>
        <w:rPr>
          <w:rFonts w:ascii="Arial" w:hAnsi="Arial" w:eastAsia="Arial"/>
          <w:color w:val="1F2937"/>
          <w:sz w:val="19"/>
        </w:rPr>
        <w:t>Plantillas institucionales homologadas, únicamente mientras su texto fijo sea compatible con la ley y con los anexos.</w:t>
      </w:r>
    </w:p>
    <w:p>
      <w:pPr>
        <w:pStyle w:val="ListNumber"/>
        <w:spacing w:after="52" w:line="259" w:lineRule="auto"/>
        <w:ind w:left="312" w:hanging="142"/>
        <w:keepLines w:val="1"/>
        <w:widowControl w:val="1"/>
      </w:pPr>
      <w:r>
        <w:rPr>
          <w:rFonts w:ascii="Arial" w:hAnsi="Arial" w:eastAsia="Arial"/>
          <w:color w:val="1F2937"/>
          <w:sz w:val="19"/>
        </w:rPr>
        <w:t>Este protocolo rector.</w:t>
      </w:r>
    </w:p>
    <w:p>
      <w:pPr>
        <w:pStyle w:val="ListNumber"/>
        <w:spacing w:after="52" w:line="259" w:lineRule="auto"/>
        <w:ind w:left="312" w:hanging="142"/>
        <w:keepLines w:val="1"/>
        <w:widowControl w:val="1"/>
      </w:pPr>
      <w:r>
        <w:rPr>
          <w:rFonts w:ascii="Arial" w:hAnsi="Arial" w:eastAsia="Arial"/>
          <w:color w:val="1F2937"/>
          <w:sz w:val="19"/>
        </w:rPr>
        <w:t>Modelos anteriores, repositorios internos, doctrina, resúmenes y ejemplos, solo como material auxiliar.</w:t>
      </w:r>
    </w:p>
    <w:tbl>
      <w:tblPr>
        <w:tblW w:type="auto" w:w="0"/>
        <w:jc w:val="center"/>
        <w:tblLayout w:type="autofit"/>
        <w:tblLook w:firstColumn="1" w:firstRow="1" w:lastColumn="0" w:lastRow="0" w:noHBand="0" w:noVBand="1" w:val="04A0"/>
      </w:tblPr>
      <w:tblGrid>
        <w:gridCol w:w="9576"/>
      </w:tblGrid>
      <w:tr>
        <w:trPr>
          <w:cantSplit/>
        </w:trPr>
        <w:tc>
          <w:tcPr>
            <w:tcW w:type="dxa" w:w="9576"/>
            <w:shd w:fill="F7F1E4"/>
            <w:tcMar>
              <w:top w:w="115" w:type="dxa"/>
              <w:start w:w="140" w:type="dxa"/>
              <w:bottom w:w="115" w:type="dxa"/>
              <w:end w:w="140" w:type="dxa"/>
            </w:tcMar>
          </w:tcPr>
          <w:p>
            <w:pPr>
              <w:spacing w:before="0" w:after="40" w:line="252" w:lineRule="auto"/>
              <w:keepLines w:val="1"/>
              <w:widowControl w:val="1"/>
            </w:pPr>
            <w:r>
              <w:rPr>
                <w:rFonts w:ascii="Arial" w:hAnsi="Arial" w:eastAsia="Arial"/>
                <w:b/>
                <w:color w:val="9A6700"/>
                <w:sz w:val="19"/>
              </w:rPr>
              <w:t>LÍMITE PROFESIONAL</w:t>
            </w:r>
          </w:p>
          <w:p>
            <w:pPr>
              <w:spacing w:before="0" w:after="0" w:line="259" w:lineRule="auto"/>
              <w:keepLines w:val="1"/>
              <w:widowControl w:val="1"/>
            </w:pPr>
            <w:r>
              <w:rPr>
                <w:rFonts w:ascii="Arial" w:hAnsi="Arial" w:eastAsia="Arial"/>
                <w:color w:val="1F2937"/>
                <w:sz w:val="19"/>
              </w:rPr>
              <w:t>El protocolo reduce riesgos; no garantiza admisión, mandamiento ni decreto cautelar. La salida máxima será “APTO PARA REVISIÓN Y FIRMA HUMANA”. La abogada que suscribe conserva el deber indelegable de revisar el expediente, actualizar la norma y decidir la radicación.</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2. INSTRUCCIÓN DE ACTIVACIÓN OBLIGATORIA</w:t>
      </w:r>
    </w:p>
    <w:tbl>
      <w:tblPr>
        <w:tblStyle w:val="TableGrid"/>
        <w:tblW w:type="auto" w:w="0"/>
        <w:jc w:val="center"/>
        <w:tblLook w:firstColumn="1" w:firstRow="1" w:lastColumn="0" w:lastRow="0" w:noHBand="0" w:noVBand="1" w:val="04A0"/>
      </w:tblPr>
      <w:tblGrid>
        <w:gridCol w:w="9576"/>
      </w:tblGrid>
      <w:tr>
        <w:trPr>
          <w:cantSplit/>
        </w:trPr>
        <w:tc>
          <w:tcPr>
            <w:tcW w:type="dxa" w:w="9576"/>
            <w:shd w:fill="F2F3F5"/>
            <w:tcMar>
              <w:top w:w="120" w:type="dxa"/>
              <w:start w:w="140" w:type="dxa"/>
              <w:bottom w:w="120" w:type="dxa"/>
              <w:end w:w="140" w:type="dxa"/>
            </w:tcMar>
          </w:tcPr>
          <w:p>
            <w:pPr>
              <w:spacing w:before="0" w:after="0" w:line="245" w:lineRule="auto"/>
              <w:keepLines w:val="1"/>
              <w:widowControl w:val="1"/>
            </w:pPr>
            <w:r>
              <w:rPr>
                <w:rFonts w:ascii="Courier New" w:hAnsi="Courier New" w:eastAsia="Courier New"/>
                <w:color w:val="1F2937"/>
                <w:sz w:val="16"/>
              </w:rPr>
              <w:t>ACTIVA EL PROTOCOLO RECTOR CIVILISTA CREARCOOP 2026.</w:t>
            </w:r>
            <w:r>
              <w:br/>
            </w:r>
            <w:r>
              <w:rPr>
                <w:rFonts w:ascii="Courier New" w:hAnsi="Courier New" w:eastAsia="Courier New"/>
                <w:color w:val="1F2937"/>
                <w:sz w:val="16"/>
              </w:rPr>
            </w:r>
            <w:r>
              <w:br/>
            </w:r>
            <w:r>
              <w:rPr>
                <w:rFonts w:ascii="Courier New" w:hAnsi="Courier New" w:eastAsia="Courier New"/>
                <w:color w:val="1F2937"/>
                <w:sz w:val="16"/>
              </w:rPr>
              <w:t>Demanda inmutable: FORMATO_DEMANDA_EJECUTIVA_CREARCOOP_HOMOLOGADO_v2.0.docx</w:t>
            </w:r>
            <w:r>
              <w:br/>
            </w:r>
            <w:r>
              <w:rPr>
                <w:rFonts w:ascii="Courier New" w:hAnsi="Courier New" w:eastAsia="Courier New"/>
                <w:color w:val="1F2937"/>
                <w:sz w:val="16"/>
              </w:rPr>
              <w:t>Cautelar inmutable: FORMATO_MEDIDAS_CAUTELARES_CREARCOOP_HOMOLOGADO_v2.0.docx</w:t>
            </w:r>
            <w:r>
              <w:br/>
            </w:r>
            <w:r>
              <w:rPr>
                <w:rFonts w:ascii="Courier New" w:hAnsi="Courier New" w:eastAsia="Courier New"/>
                <w:color w:val="1F2937"/>
                <w:sz w:val="16"/>
              </w:rPr>
              <w:t>Caso: [DEUDOR / PAGARÉ / OBLIGACIÓN]</w:t>
            </w:r>
            <w:r>
              <w:br/>
            </w:r>
            <w:r>
              <w:rPr>
                <w:rFonts w:ascii="Courier New" w:hAnsi="Courier New" w:eastAsia="Courier New"/>
                <w:color w:val="1F2937"/>
                <w:sz w:val="16"/>
              </w:rPr>
              <w:t>Firmante: [NOMBRE / C.C. / T.P. / CORREO RNA]</w:t>
            </w:r>
            <w:r>
              <w:br/>
            </w:r>
            <w:r>
              <w:rPr>
                <w:rFonts w:ascii="Courier New" w:hAnsi="Courier New" w:eastAsia="Courier New"/>
                <w:color w:val="1F2937"/>
                <w:sz w:val="16"/>
              </w:rPr>
              <w:t>Corte contable: [DD/MM/AAAA]</w:t>
            </w:r>
            <w:r>
              <w:br/>
            </w:r>
            <w:r>
              <w:rPr>
                <w:rFonts w:ascii="Courier New" w:hAnsi="Courier New" w:eastAsia="Courier New"/>
                <w:color w:val="1F2937"/>
                <w:sz w:val="16"/>
              </w:rPr>
              <w:t>Corte normativo: [DD/MM/AAAA]</w:t>
            </w:r>
            <w:r>
              <w:br/>
            </w:r>
            <w:r>
              <w:rPr>
                <w:rFonts w:ascii="Courier New" w:hAnsi="Courier New" w:eastAsia="Courier New"/>
                <w:color w:val="1F2937"/>
                <w:sz w:val="16"/>
              </w:rPr>
              <w:t>Anexos recibidos: [LISTA EXACTA]</w:t>
            </w:r>
            <w:r>
              <w:br/>
            </w:r>
            <w:r>
              <w:rPr>
                <w:rFonts w:ascii="Courier New" w:hAnsi="Courier New" w:eastAsia="Courier New"/>
                <w:color w:val="1F2937"/>
                <w:sz w:val="16"/>
              </w:rPr>
            </w:r>
            <w:r>
              <w:br/>
            </w:r>
            <w:r>
              <w:rPr>
                <w:rFonts w:ascii="Courier New" w:hAnsi="Courier New" w:eastAsia="Courier New"/>
                <w:color w:val="1F2937"/>
                <w:sz w:val="16"/>
              </w:rPr>
              <w:t>Audita antes de redactar. No inventes. No completes por inferencia. Entrega matriz dato–soporte, viabilidad, bloqueos y riesgos. Siempre prepara demanda y cautelar en escritos separados. No produzcas versión final con campos faltantes, contradicciones o gates fallidos. Conserva íntegramente el formato homologado. Revisa al final como juez y como abogado de la contraparte.</w:t>
            </w:r>
          </w:p>
        </w:tc>
      </w:tr>
    </w:tbl>
    <w:p>
      <w:pPr>
        <w:spacing w:before="0" w:after="0" w:line="240" w:lineRule="auto"/>
        <w:keepLines w:val="1"/>
        <w:widowControl w:val="1"/>
      </w:pPr>
    </w:p>
    <w:p>
      <w:pPr>
        <w:spacing w:before="140" w:after="60" w:line="240" w:lineRule="auto"/>
        <w:keepLines w:val="1"/>
        <w:widowControl w:val="1"/>
        <w:keepNext w:val="1"/>
      </w:pPr>
      <w:r>
        <w:rPr>
          <w:rFonts w:ascii="Arial" w:hAnsi="Arial" w:eastAsia="Arial"/>
          <w:b/>
          <w:color w:val="17365D"/>
          <w:sz w:val="21"/>
        </w:rPr>
        <w:t>Modos de operación</w:t>
      </w:r>
    </w:p>
    <w:tbl>
      <w:tblPr>
        <w:tblStyle w:val="TableGrid"/>
        <w:tblW w:type="auto" w:w="0"/>
        <w:jc w:val="center"/>
        <w:tblLayout w:type="autofit"/>
        <w:tblLook w:firstColumn="1" w:firstRow="1" w:lastColumn="0" w:lastRow="0" w:noHBand="0" w:noVBand="1" w:val="04A0"/>
      </w:tblPr>
      <w:tblGrid>
        <w:gridCol w:w="3192"/>
        <w:gridCol w:w="3192"/>
        <w:gridCol w:w="3192"/>
      </w:tblGrid>
      <w:tr>
        <w:trPr>
          <w:tblHeader w:val="true"/>
          <w:cantSplit/>
        </w:trPr>
        <w:tc>
          <w:tcPr>
            <w:tcW w:type="dxa" w:w="158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Modo</w:t>
            </w:r>
          </w:p>
        </w:tc>
        <w:tc>
          <w:tcPr>
            <w:tcW w:type="dxa" w:w="3515"/>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Finalidad</w:t>
            </w:r>
          </w:p>
        </w:tc>
        <w:tc>
          <w:tcPr>
            <w:tcW w:type="dxa" w:w="3969"/>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Salida obligatoria</w:t>
            </w:r>
          </w:p>
        </w:tc>
      </w:tr>
      <w:tr>
        <w:trPr>
          <w:cantSplit/>
        </w:trPr>
        <w:tc>
          <w:tcPr>
            <w:tcW w:type="dxa" w:w="1587"/>
            <w:tcMar>
              <w:top w:w="40" w:type="dxa"/>
              <w:start w:w="65" w:type="dxa"/>
              <w:bottom w:w="40" w:type="dxa"/>
              <w:end w:w="65" w:type="dxa"/>
            </w:tcMar>
            <w:vAlign w:val="top"/>
          </w:tcPr>
          <w:p>
            <w:pPr>
              <w:spacing w:before="0" w:after="0" w:line="240" w:lineRule="auto"/>
            </w:pPr>
            <w:r>
              <w:rPr>
                <w:rFonts w:ascii="Arial" w:hAnsi="Arial"/>
                <w:sz w:val="15"/>
              </w:rPr>
              <w:t>HOMOLOGACIÓN</w:t>
            </w:r>
          </w:p>
        </w:tc>
        <w:tc>
          <w:tcPr>
            <w:tcW w:type="dxa" w:w="3515"/>
            <w:tcMar>
              <w:top w:w="40" w:type="dxa"/>
              <w:start w:w="65" w:type="dxa"/>
              <w:bottom w:w="40" w:type="dxa"/>
              <w:end w:w="65" w:type="dxa"/>
            </w:tcMar>
            <w:vAlign w:val="top"/>
          </w:tcPr>
          <w:p>
            <w:pPr>
              <w:spacing w:before="0" w:after="0" w:line="240" w:lineRule="auto"/>
            </w:pPr>
            <w:r>
              <w:rPr>
                <w:rFonts w:ascii="Arial" w:hAnsi="Arial"/>
                <w:sz w:val="15"/>
              </w:rPr>
              <w:t>Revisar plantilla o cláusula fija.</w:t>
            </w:r>
          </w:p>
        </w:tc>
        <w:tc>
          <w:tcPr>
            <w:tcW w:type="dxa" w:w="3969"/>
            <w:tcMar>
              <w:top w:w="40" w:type="dxa"/>
              <w:start w:w="65" w:type="dxa"/>
              <w:bottom w:w="40" w:type="dxa"/>
              <w:end w:w="65" w:type="dxa"/>
            </w:tcMar>
            <w:vAlign w:val="top"/>
          </w:tcPr>
          <w:p>
            <w:pPr>
              <w:spacing w:before="0" w:after="0" w:line="240" w:lineRule="auto"/>
            </w:pPr>
            <w:r>
              <w:rPr>
                <w:rFonts w:ascii="Arial" w:hAnsi="Arial"/>
                <w:sz w:val="15"/>
              </w:rPr>
              <w:t>Acta de cambio, fuente y versión.</w:t>
            </w:r>
          </w:p>
        </w:tc>
      </w:tr>
      <w:tr>
        <w:trPr>
          <w:cantSplit/>
        </w:trPr>
        <w:tc>
          <w:tcPr>
            <w:tcW w:type="dxa" w:w="1587"/>
            <w:tcMar>
              <w:top w:w="40" w:type="dxa"/>
              <w:start w:w="65" w:type="dxa"/>
              <w:bottom w:w="40" w:type="dxa"/>
              <w:end w:w="65" w:type="dxa"/>
            </w:tcMar>
            <w:shd w:fill="F2F3F5"/>
            <w:vAlign w:val="top"/>
          </w:tcPr>
          <w:p>
            <w:pPr>
              <w:spacing w:before="0" w:after="0" w:line="240" w:lineRule="auto"/>
            </w:pPr>
            <w:r>
              <w:rPr>
                <w:rFonts w:ascii="Arial" w:hAnsi="Arial"/>
                <w:sz w:val="15"/>
              </w:rPr>
              <w:t>CASO</w:t>
            </w:r>
          </w:p>
        </w:tc>
        <w:tc>
          <w:tcPr>
            <w:tcW w:type="dxa" w:w="3515"/>
            <w:tcMar>
              <w:top w:w="40" w:type="dxa"/>
              <w:start w:w="65" w:type="dxa"/>
              <w:bottom w:w="40" w:type="dxa"/>
              <w:end w:w="65" w:type="dxa"/>
            </w:tcMar>
            <w:shd w:fill="F2F3F5"/>
            <w:vAlign w:val="top"/>
          </w:tcPr>
          <w:p>
            <w:pPr>
              <w:spacing w:before="0" w:after="0" w:line="240" w:lineRule="auto"/>
            </w:pPr>
            <w:r>
              <w:rPr>
                <w:rFonts w:ascii="Arial" w:hAnsi="Arial"/>
                <w:sz w:val="15"/>
              </w:rPr>
              <w:t>Preparar demanda y cautelar.</w:t>
            </w:r>
          </w:p>
        </w:tc>
        <w:tc>
          <w:tcPr>
            <w:tcW w:type="dxa" w:w="3969"/>
            <w:tcMar>
              <w:top w:w="40" w:type="dxa"/>
              <w:start w:w="65" w:type="dxa"/>
              <w:bottom w:w="40" w:type="dxa"/>
              <w:end w:w="65" w:type="dxa"/>
            </w:tcMar>
            <w:shd w:fill="F2F3F5"/>
            <w:vAlign w:val="top"/>
          </w:tcPr>
          <w:p>
            <w:pPr>
              <w:spacing w:before="0" w:after="0" w:line="240" w:lineRule="auto"/>
            </w:pPr>
            <w:r>
              <w:rPr>
                <w:rFonts w:ascii="Arial" w:hAnsi="Arial"/>
                <w:sz w:val="15"/>
              </w:rPr>
              <w:t>Viabilidad, matriz, escritos y acta.</w:t>
            </w:r>
          </w:p>
        </w:tc>
      </w:tr>
      <w:tr>
        <w:trPr>
          <w:cantSplit/>
        </w:trPr>
        <w:tc>
          <w:tcPr>
            <w:tcW w:type="dxa" w:w="1587"/>
            <w:tcMar>
              <w:top w:w="40" w:type="dxa"/>
              <w:start w:w="65" w:type="dxa"/>
              <w:bottom w:w="40" w:type="dxa"/>
              <w:end w:w="65" w:type="dxa"/>
            </w:tcMar>
            <w:vAlign w:val="top"/>
          </w:tcPr>
          <w:p>
            <w:pPr>
              <w:spacing w:before="0" w:after="0" w:line="240" w:lineRule="auto"/>
            </w:pPr>
            <w:r>
              <w:rPr>
                <w:rFonts w:ascii="Arial" w:hAnsi="Arial"/>
                <w:sz w:val="15"/>
              </w:rPr>
              <w:t>AUDITORÍA</w:t>
            </w:r>
          </w:p>
        </w:tc>
        <w:tc>
          <w:tcPr>
            <w:tcW w:type="dxa" w:w="3515"/>
            <w:tcMar>
              <w:top w:w="40" w:type="dxa"/>
              <w:start w:w="65" w:type="dxa"/>
              <w:bottom w:w="40" w:type="dxa"/>
              <w:end w:w="65" w:type="dxa"/>
            </w:tcMar>
            <w:vAlign w:val="top"/>
          </w:tcPr>
          <w:p>
            <w:pPr>
              <w:spacing w:before="0" w:after="0" w:line="240" w:lineRule="auto"/>
            </w:pPr>
            <w:r>
              <w:rPr>
                <w:rFonts w:ascii="Arial" w:hAnsi="Arial"/>
                <w:sz w:val="15"/>
              </w:rPr>
              <w:t>Revisar un borrador.</w:t>
            </w:r>
          </w:p>
        </w:tc>
        <w:tc>
          <w:tcPr>
            <w:tcW w:type="dxa" w:w="3969"/>
            <w:tcMar>
              <w:top w:w="40" w:type="dxa"/>
              <w:start w:w="65" w:type="dxa"/>
              <w:bottom w:w="40" w:type="dxa"/>
              <w:end w:w="65" w:type="dxa"/>
            </w:tcMar>
            <w:vAlign w:val="top"/>
          </w:tcPr>
          <w:p>
            <w:pPr>
              <w:spacing w:before="0" w:after="0" w:line="240" w:lineRule="auto"/>
            </w:pPr>
            <w:r>
              <w:rPr>
                <w:rFonts w:ascii="Arial" w:hAnsi="Arial"/>
                <w:sz w:val="15"/>
              </w:rPr>
              <w:t>Hallazgos y dictamen de aptitud.</w:t>
            </w:r>
          </w:p>
        </w:tc>
      </w:tr>
      <w:tr>
        <w:trPr>
          <w:cantSplit/>
        </w:trPr>
        <w:tc>
          <w:tcPr>
            <w:tcW w:type="dxa" w:w="1587"/>
            <w:tcMar>
              <w:top w:w="40" w:type="dxa"/>
              <w:start w:w="65" w:type="dxa"/>
              <w:bottom w:w="40" w:type="dxa"/>
              <w:end w:w="65" w:type="dxa"/>
            </w:tcMar>
            <w:shd w:fill="F2F3F5"/>
            <w:vAlign w:val="top"/>
          </w:tcPr>
          <w:p>
            <w:pPr>
              <w:spacing w:before="0" w:after="0" w:line="240" w:lineRule="auto"/>
            </w:pPr>
            <w:r>
              <w:rPr>
                <w:rFonts w:ascii="Arial" w:hAnsi="Arial"/>
                <w:sz w:val="15"/>
              </w:rPr>
              <w:t>SUBSANACIÓN</w:t>
            </w:r>
          </w:p>
        </w:tc>
        <w:tc>
          <w:tcPr>
            <w:tcW w:type="dxa" w:w="3515"/>
            <w:tcMar>
              <w:top w:w="40" w:type="dxa"/>
              <w:start w:w="65" w:type="dxa"/>
              <w:bottom w:w="40" w:type="dxa"/>
              <w:end w:w="65" w:type="dxa"/>
            </w:tcMar>
            <w:shd w:fill="F2F3F5"/>
            <w:vAlign w:val="top"/>
          </w:tcPr>
          <w:p>
            <w:pPr>
              <w:spacing w:before="0" w:after="0" w:line="240" w:lineRule="auto"/>
            </w:pPr>
            <w:r>
              <w:rPr>
                <w:rFonts w:ascii="Arial" w:hAnsi="Arial"/>
                <w:sz w:val="15"/>
              </w:rPr>
              <w:t>Responder una inadmisión.</w:t>
            </w:r>
          </w:p>
        </w:tc>
        <w:tc>
          <w:tcPr>
            <w:tcW w:type="dxa" w:w="3969"/>
            <w:tcMar>
              <w:top w:w="40" w:type="dxa"/>
              <w:start w:w="65" w:type="dxa"/>
              <w:bottom w:w="40" w:type="dxa"/>
              <w:end w:w="65" w:type="dxa"/>
            </w:tcMar>
            <w:shd w:fill="F2F3F5"/>
            <w:vAlign w:val="top"/>
          </w:tcPr>
          <w:p>
            <w:pPr>
              <w:spacing w:before="0" w:after="0" w:line="240" w:lineRule="auto"/>
            </w:pPr>
            <w:r>
              <w:rPr>
                <w:rFonts w:ascii="Arial" w:hAnsi="Arial"/>
                <w:sz w:val="15"/>
              </w:rPr>
              <w:t>Matriz y escrito corregido.</w:t>
            </w:r>
          </w:p>
        </w:tc>
      </w:tr>
      <w:tr>
        <w:trPr>
          <w:cantSplit/>
        </w:trPr>
        <w:tc>
          <w:tcPr>
            <w:tcW w:type="dxa" w:w="1587"/>
            <w:tcMar>
              <w:top w:w="40" w:type="dxa"/>
              <w:start w:w="65" w:type="dxa"/>
              <w:bottom w:w="40" w:type="dxa"/>
              <w:end w:w="65" w:type="dxa"/>
            </w:tcMar>
            <w:vAlign w:val="top"/>
          </w:tcPr>
          <w:p>
            <w:pPr>
              <w:spacing w:before="0" w:after="0" w:line="240" w:lineRule="auto"/>
            </w:pPr>
            <w:r>
              <w:rPr>
                <w:rFonts w:ascii="Arial" w:hAnsi="Arial"/>
                <w:sz w:val="15"/>
              </w:rPr>
              <w:t>LIQUIDACIÓN</w:t>
            </w:r>
          </w:p>
        </w:tc>
        <w:tc>
          <w:tcPr>
            <w:tcW w:type="dxa" w:w="3515"/>
            <w:tcMar>
              <w:top w:w="40" w:type="dxa"/>
              <w:start w:w="65" w:type="dxa"/>
              <w:bottom w:w="40" w:type="dxa"/>
              <w:end w:w="65" w:type="dxa"/>
            </w:tcMar>
            <w:vAlign w:val="top"/>
          </w:tcPr>
          <w:p>
            <w:pPr>
              <w:spacing w:before="0" w:after="0" w:line="240" w:lineRule="auto"/>
            </w:pPr>
            <w:r>
              <w:rPr>
                <w:rFonts w:ascii="Arial" w:hAnsi="Arial"/>
                <w:sz w:val="15"/>
              </w:rPr>
              <w:t>Reconciliar valores.</w:t>
            </w:r>
          </w:p>
        </w:tc>
        <w:tc>
          <w:tcPr>
            <w:tcW w:type="dxa" w:w="3969"/>
            <w:tcMar>
              <w:top w:w="40" w:type="dxa"/>
              <w:start w:w="65" w:type="dxa"/>
              <w:bottom w:w="40" w:type="dxa"/>
              <w:end w:w="65" w:type="dxa"/>
            </w:tcMar>
            <w:vAlign w:val="top"/>
          </w:tcPr>
          <w:p>
            <w:pPr>
              <w:spacing w:before="0" w:after="0" w:line="240" w:lineRule="auto"/>
            </w:pPr>
            <w:r>
              <w:rPr>
                <w:rFonts w:ascii="Arial" w:hAnsi="Arial"/>
                <w:sz w:val="15"/>
              </w:rPr>
              <w:t>Memoria y pretensiones coincidentes.</w:t>
            </w:r>
          </w:p>
        </w:tc>
      </w:tr>
      <w:tr>
        <w:trPr>
          <w:cantSplit/>
        </w:trPr>
        <w:tc>
          <w:tcPr>
            <w:tcW w:type="dxa" w:w="1587"/>
            <w:tcMar>
              <w:top w:w="40" w:type="dxa"/>
              <w:start w:w="65" w:type="dxa"/>
              <w:bottom w:w="40" w:type="dxa"/>
              <w:end w:w="65" w:type="dxa"/>
            </w:tcMar>
            <w:shd w:fill="F2F3F5"/>
            <w:vAlign w:val="top"/>
          </w:tcPr>
          <w:p>
            <w:pPr>
              <w:spacing w:before="0" w:after="0" w:line="240" w:lineRule="auto"/>
            </w:pPr>
            <w:r>
              <w:rPr>
                <w:rFonts w:ascii="Arial" w:hAnsi="Arial"/>
                <w:sz w:val="15"/>
              </w:rPr>
              <w:t>SEGUIMIENTO</w:t>
            </w:r>
          </w:p>
        </w:tc>
        <w:tc>
          <w:tcPr>
            <w:tcW w:type="dxa" w:w="3515"/>
            <w:tcMar>
              <w:top w:w="40" w:type="dxa"/>
              <w:start w:w="65" w:type="dxa"/>
              <w:bottom w:w="40" w:type="dxa"/>
              <w:end w:w="65" w:type="dxa"/>
            </w:tcMar>
            <w:shd w:fill="F2F3F5"/>
            <w:vAlign w:val="top"/>
          </w:tcPr>
          <w:p>
            <w:pPr>
              <w:spacing w:before="0" w:after="0" w:line="240" w:lineRule="auto"/>
            </w:pPr>
            <w:r>
              <w:rPr>
                <w:rFonts w:ascii="Arial" w:hAnsi="Arial"/>
                <w:sz w:val="15"/>
              </w:rPr>
              <w:t>Control posradicación.</w:t>
            </w:r>
          </w:p>
        </w:tc>
        <w:tc>
          <w:tcPr>
            <w:tcW w:type="dxa" w:w="3969"/>
            <w:tcMar>
              <w:top w:w="40" w:type="dxa"/>
              <w:start w:w="65" w:type="dxa"/>
              <w:bottom w:w="40" w:type="dxa"/>
              <w:end w:w="65" w:type="dxa"/>
            </w:tcMar>
            <w:shd w:fill="F2F3F5"/>
            <w:vAlign w:val="top"/>
          </w:tcPr>
          <w:p>
            <w:pPr>
              <w:spacing w:before="0" w:after="0" w:line="240" w:lineRule="auto"/>
            </w:pPr>
            <w:r>
              <w:rPr>
                <w:rFonts w:ascii="Arial" w:hAnsi="Arial"/>
                <w:sz w:val="15"/>
              </w:rPr>
              <w:t>Cautelas, notificación, pagos y términos.</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3. POLÍTICA PROCESAL FIJA: CAUTELAS, CONCILIACIÓN Y NOTIFICACIÓN</w:t>
      </w:r>
    </w:p>
    <w:tbl>
      <w:tblPr>
        <w:tblW w:type="auto" w:w="0"/>
        <w:jc w:val="center"/>
        <w:tblLayout w:type="autofit"/>
        <w:tblLook w:firstColumn="1" w:firstRow="1" w:lastColumn="0" w:lastRow="0" w:noHBand="0" w:noVBand="1" w:val="04A0"/>
      </w:tblPr>
      <w:tblGrid>
        <w:gridCol w:w="9576"/>
      </w:tblGrid>
      <w:tr>
        <w:trPr>
          <w:cantSplit/>
        </w:trPr>
        <w:tc>
          <w:tcPr>
            <w:tcW w:type="dxa" w:w="9576"/>
            <w:shd w:fill="EAF1F8"/>
            <w:tcMar>
              <w:top w:w="115" w:type="dxa"/>
              <w:start w:w="140" w:type="dxa"/>
              <w:bottom w:w="115" w:type="dxa"/>
              <w:end w:w="140" w:type="dxa"/>
            </w:tcMar>
          </w:tcPr>
          <w:p>
            <w:pPr>
              <w:spacing w:before="0" w:after="40" w:line="252" w:lineRule="auto"/>
              <w:keepLines w:val="1"/>
              <w:widowControl w:val="1"/>
            </w:pPr>
            <w:r>
              <w:rPr>
                <w:rFonts w:ascii="Arial" w:hAnsi="Arial" w:eastAsia="Arial"/>
                <w:b/>
                <w:color w:val="17365D"/>
                <w:sz w:val="19"/>
              </w:rPr>
              <w:t>POLÍTICA INSTITUCIONAL</w:t>
            </w:r>
          </w:p>
          <w:p>
            <w:pPr>
              <w:spacing w:before="0" w:after="0" w:line="259" w:lineRule="auto"/>
              <w:keepLines w:val="1"/>
              <w:widowControl w:val="1"/>
            </w:pPr>
            <w:r>
              <w:rPr>
                <w:rFonts w:ascii="Arial" w:hAnsi="Arial" w:eastAsia="Arial"/>
                <w:color w:val="1F2937"/>
                <w:sz w:val="19"/>
              </w:rPr>
              <w:t>Toda demanda ejecutiva de CREARCOOP se presenta acompañada de una solicitud de medidas cautelares previas, en escrito separado. Esta política no autoriza medidas genéricas: solo se activan los módulos individualizados, legales, útiles, proporcionales y soportados por la información del expediente.</w:t>
            </w:r>
          </w:p>
        </w:tc>
      </w:tr>
    </w:tbl>
    <w:p>
      <w:pPr>
        <w:spacing w:before="0" w:after="0" w:line="240" w:lineRule="auto"/>
        <w:keepLines w:val="1"/>
        <w:widowControl w:val="1"/>
      </w:pPr>
    </w:p>
    <w:tbl>
      <w:tblPr>
        <w:tblStyle w:val="TableGrid"/>
        <w:tblW w:type="auto" w:w="0"/>
        <w:jc w:val="center"/>
        <w:tblLayout w:type="autofit"/>
        <w:tblLook w:firstColumn="1" w:firstRow="1" w:lastColumn="0" w:lastRow="0" w:noHBand="0" w:noVBand="1" w:val="04A0"/>
      </w:tblPr>
      <w:tblGrid>
        <w:gridCol w:w="3192"/>
        <w:gridCol w:w="3192"/>
        <w:gridCol w:w="3192"/>
      </w:tblGrid>
      <w:tr>
        <w:trPr>
          <w:tblHeader w:val="true"/>
          <w:cantSplit/>
        </w:trPr>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Tema</w:t>
            </w:r>
          </w:p>
        </w:tc>
        <w:tc>
          <w:tcPr>
            <w:tcW w:type="dxa" w:w="3402"/>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Regla fija</w:t>
            </w:r>
          </w:p>
        </w:tc>
        <w:tc>
          <w:tcPr>
            <w:tcW w:type="dxa" w:w="3969"/>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Precisión que evita el error</w:t>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Conciliación prejudicial</w:t>
            </w:r>
          </w:p>
        </w:tc>
        <w:tc>
          <w:tcPr>
            <w:tcW w:type="dxa" w:w="34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 se aporta constancia de conciliación.</w:t>
            </w:r>
          </w:p>
        </w:tc>
        <w:tc>
          <w:tcPr>
            <w:tcW w:type="dxa" w:w="3969"/>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El proceso ejecutivo no es declarativo y, además, al pedirse cautelas opera el parágrafo 3 del artículo 67 de la Ley 2220 de 2022.</w:t>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Copia antes de radicar</w:t>
            </w:r>
          </w:p>
        </w:tc>
        <w:tc>
          <w:tcPr>
            <w:tcW w:type="dxa" w:w="340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No se envía simultáneamente al demandado la demanda ni sus anexos.</w:t>
            </w:r>
          </w:p>
        </w:tc>
        <w:tc>
          <w:tcPr>
            <w:tcW w:type="dxa" w:w="3969"/>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La excepción del artículo 6 de la Ley 2213 de 2022 aplica porque se solicitan medidas cautelares previas.</w:t>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Notificación posterior</w:t>
            </w:r>
          </w:p>
        </w:tc>
        <w:tc>
          <w:tcPr>
            <w:tcW w:type="dxa" w:w="34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Sí debe notificarse personalmente el mandamiento de pago después de la actuación cautelar.</w:t>
            </w:r>
          </w:p>
        </w:tc>
        <w:tc>
          <w:tcPr>
            <w:tcW w:type="dxa" w:w="3969"/>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La excepción al envío previo no suprime la notificación judicial ni el derecho de contradicción.</w:t>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Requerimiento o mora</w:t>
            </w:r>
          </w:p>
        </w:tc>
        <w:tc>
          <w:tcPr>
            <w:tcW w:type="dxa" w:w="340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No se hace contacto previo por rutina.</w:t>
            </w:r>
          </w:p>
        </w:tc>
        <w:tc>
          <w:tcPr>
            <w:tcW w:type="dxa" w:w="3969"/>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Si el título, el contrato, la aceleración o la ley exigen un acto sustantivo previo, debe cumplirse y probarse; la política cautelar no lo elimina.</w:t>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Reserva y oportunidad</w:t>
            </w:r>
          </w:p>
        </w:tc>
        <w:tc>
          <w:tcPr>
            <w:tcW w:type="dxa" w:w="34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La cautelar se tramita antes de revelar la demanda al ejecutado.</w:t>
            </w:r>
          </w:p>
        </w:tc>
        <w:tc>
          <w:tcPr>
            <w:tcW w:type="dxa" w:w="3969"/>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 se divulga información que frustre la medida; después se impulsa de inmediato la notificación.</w:t>
            </w:r>
          </w:p>
        </w:tc>
      </w:tr>
    </w:tbl>
    <w:p>
      <w:pPr>
        <w:spacing w:before="0" w:after="0" w:line="240" w:lineRule="auto"/>
        <w:keepLines w:val="1"/>
        <w:widowControl w:val="1"/>
      </w:pPr>
    </w:p>
    <w:tbl>
      <w:tblPr>
        <w:tblW w:type="auto" w:w="0"/>
        <w:jc w:val="center"/>
        <w:tblLayout w:type="autofit"/>
        <w:tblLook w:firstColumn="1" w:firstRow="1" w:lastColumn="0" w:lastRow="0" w:noHBand="0" w:noVBand="1" w:val="04A0"/>
      </w:tblPr>
      <w:tblGrid>
        <w:gridCol w:w="9576"/>
      </w:tblGrid>
      <w:tr>
        <w:trPr>
          <w:cantSplit/>
        </w:trPr>
        <w:tc>
          <w:tcPr>
            <w:tcW w:type="dxa" w:w="9576"/>
            <w:shd w:fill="EAF6EE"/>
            <w:tcMar>
              <w:top w:w="115" w:type="dxa"/>
              <w:start w:w="140" w:type="dxa"/>
              <w:bottom w:w="115" w:type="dxa"/>
              <w:end w:w="140" w:type="dxa"/>
            </w:tcMar>
          </w:tcPr>
          <w:p>
            <w:pPr>
              <w:spacing w:before="0" w:after="40" w:line="252" w:lineRule="auto"/>
              <w:keepLines w:val="1"/>
              <w:widowControl w:val="1"/>
            </w:pPr>
            <w:r>
              <w:rPr>
                <w:rFonts w:ascii="Arial" w:hAnsi="Arial" w:eastAsia="Arial"/>
                <w:b/>
                <w:color w:val="216E39"/>
                <w:sz w:val="19"/>
              </w:rPr>
              <w:t>FÓRMULA AUTORIZADA EN LA DEMANDA</w:t>
            </w:r>
          </w:p>
          <w:p>
            <w:pPr>
              <w:spacing w:before="0" w:after="0" w:line="259" w:lineRule="auto"/>
              <w:keepLines w:val="1"/>
              <w:widowControl w:val="1"/>
            </w:pPr>
            <w:r>
              <w:rPr>
                <w:rFonts w:ascii="Arial" w:hAnsi="Arial" w:eastAsia="Arial"/>
                <w:color w:val="1F2937"/>
                <w:sz w:val="19"/>
              </w:rPr>
              <w:t>“La demanda se presenta con solicitud de medidas cautelares previas en escrito separado. Por ello no se agotó conciliación prejudicial y no se remitió simultáneamente copia de la demanda y sus anexos al demandado, sin perjuicio de la posterior notificación personal del mandamiento de pago.”</w:t>
            </w:r>
          </w:p>
        </w:tc>
      </w:tr>
    </w:tbl>
    <w:p>
      <w:pPr>
        <w:spacing w:before="0" w:after="0" w:line="240" w:lineRule="auto"/>
        <w:keepLines w:val="1"/>
        <w:widowControl w:val="1"/>
      </w:pPr>
    </w:p>
    <w:p>
      <w:pPr>
        <w:spacing w:before="0" w:after="100" w:line="269" w:lineRule="auto"/>
        <w:keepLines w:val="1"/>
        <w:widowControl w:val="1"/>
      </w:pPr>
      <w:r>
        <w:rPr>
          <w:rFonts w:ascii="Arial" w:hAnsi="Arial" w:eastAsia="Arial"/>
          <w:i w:val="0"/>
          <w:color w:val="1F2937"/>
          <w:sz w:val="20"/>
        </w:rPr>
        <w:t>No se ampliará esta fórmula con explicaciones doctrinales, transcripciones normativas o afirmaciones innecesarias.</w:t>
      </w:r>
    </w:p>
    <w:p>
      <w:pPr>
        <w:spacing w:before="220" w:after="100" w:line="240" w:lineRule="auto"/>
        <w:keepLines w:val="1"/>
        <w:widowControl w:val="1"/>
        <w:pBdr>
          <w:bottom w:val="single" w:sz="8" w:space="3" w:color="C69A45"/>
        </w:pBdr>
        <w:keepNext w:val="1"/>
      </w:pPr>
      <w:r>
        <w:rPr>
          <w:rFonts w:ascii="Arial" w:hAnsi="Arial" w:eastAsia="Arial"/>
          <w:b/>
          <w:color w:val="17365D"/>
          <w:sz w:val="25"/>
        </w:rPr>
        <w:t>4. PLANTILLAS INMUTABLES Y CONTROL DE VERSIONES</w:t>
      </w:r>
    </w:p>
    <w:tbl>
      <w:tblPr>
        <w:tblStyle w:val="TableGrid"/>
        <w:tblW w:type="auto" w:w="0"/>
        <w:jc w:val="center"/>
        <w:tblLayout w:type="autofit"/>
        <w:tblLook w:firstColumn="1" w:firstRow="1" w:lastColumn="0" w:lastRow="0" w:noHBand="0" w:noVBand="1" w:val="04A0"/>
      </w:tblPr>
      <w:tblGrid>
        <w:gridCol w:w="3192"/>
        <w:gridCol w:w="3192"/>
        <w:gridCol w:w="3192"/>
      </w:tblGrid>
      <w:tr>
        <w:trPr>
          <w:tblHeader w:val="true"/>
          <w:cantSplit/>
        </w:trPr>
        <w:tc>
          <w:tcPr>
            <w:tcW w:type="dxa" w:w="238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Documento controlado</w:t>
            </w:r>
          </w:p>
        </w:tc>
        <w:tc>
          <w:tcPr>
            <w:tcW w:type="dxa" w:w="5102"/>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Versión canónica</w:t>
            </w:r>
          </w:p>
        </w:tc>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Estado</w:t>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Demanda ejecutiva con pagaré</w:t>
            </w:r>
          </w:p>
        </w:tc>
        <w:tc>
          <w:tcPr>
            <w:tcW w:type="dxa" w:w="51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FORMATO_DEMANDA_EJECUTIVA_CREARCOOP_HOMOLOGADO_v2.0.docx</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CONGELADO</w:t>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Solicitud de medidas cautelares</w:t>
            </w:r>
          </w:p>
        </w:tc>
        <w:tc>
          <w:tcPr>
            <w:tcW w:type="dxa" w:w="510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FORMATO_MEDIDAS_CAUTELARES_CREARCOOP_HOMOLOGADO_v2.0.docx</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CONGELADO</w:t>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Protocolo rector</w:t>
            </w:r>
          </w:p>
        </w:tc>
        <w:tc>
          <w:tcPr>
            <w:tcW w:type="dxa" w:w="51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00_LEER_PRIMERO_PROTOCOLO_CIVILISTA_CREARCOOP_2026.docx</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CANÓNICO</w:t>
            </w:r>
          </w:p>
        </w:tc>
      </w:tr>
    </w:tbl>
    <w:p>
      <w:pPr>
        <w:spacing w:before="0" w:after="0" w:line="240" w:lineRule="auto"/>
        <w:keepLines w:val="1"/>
        <w:widowControl w:val="1"/>
      </w:pPr>
    </w:p>
    <w:p>
      <w:pPr>
        <w:spacing w:before="140" w:after="60" w:line="240" w:lineRule="auto"/>
        <w:keepLines w:val="1"/>
        <w:widowControl w:val="1"/>
        <w:keepNext w:val="1"/>
      </w:pPr>
      <w:r>
        <w:rPr>
          <w:rFonts w:ascii="Arial" w:hAnsi="Arial" w:eastAsia="Arial"/>
          <w:b/>
          <w:color w:val="17365D"/>
          <w:sz w:val="21"/>
        </w:rPr>
        <w:t>Elementos que no pueden alterarse</w:t>
      </w:r>
    </w:p>
    <w:p>
      <w:pPr>
        <w:pStyle w:val="ListBullet"/>
        <w:spacing w:after="52" w:line="259" w:lineRule="auto"/>
        <w:ind w:left="312" w:hanging="142"/>
        <w:keepLines w:val="1"/>
        <w:widowControl w:val="1"/>
      </w:pPr>
      <w:r>
        <w:rPr>
          <w:rFonts w:ascii="Arial" w:hAnsi="Arial" w:eastAsia="Arial"/>
          <w:color w:val="1F2937"/>
          <w:sz w:val="19"/>
        </w:rPr>
        <w:t>Logotipo, membrete, colores, tamaño de página, márgenes, fuentes, encabezado, pie, numeración, orden de secciones y distribución institucional.</w:t>
      </w:r>
    </w:p>
    <w:p>
      <w:pPr>
        <w:pStyle w:val="ListBullet"/>
        <w:spacing w:after="52" w:line="259" w:lineRule="auto"/>
        <w:ind w:left="312" w:hanging="142"/>
        <w:keepLines w:val="1"/>
        <w:widowControl w:val="1"/>
      </w:pPr>
      <w:r>
        <w:rPr>
          <w:rFonts w:ascii="Arial" w:hAnsi="Arial" w:eastAsia="Arial"/>
          <w:color w:val="1F2937"/>
          <w:sz w:val="19"/>
        </w:rPr>
        <w:t>Cláusulas fijas ya homologadas, identidad y calidad del firmante definido en la versión, salvo nueva homologación formal.</w:t>
      </w:r>
    </w:p>
    <w:p>
      <w:pPr>
        <w:pStyle w:val="ListBullet"/>
        <w:spacing w:after="52" w:line="259" w:lineRule="auto"/>
        <w:ind w:left="312" w:hanging="142"/>
        <w:keepLines w:val="1"/>
        <w:widowControl w:val="1"/>
      </w:pPr>
      <w:r>
        <w:rPr>
          <w:rFonts w:ascii="Arial" w:hAnsi="Arial" w:eastAsia="Arial"/>
          <w:color w:val="1F2937"/>
          <w:sz w:val="19"/>
        </w:rPr>
        <w:t>Nombre y número de versión del archivo base.</w:t>
      </w:r>
    </w:p>
    <w:p>
      <w:pPr>
        <w:pStyle w:val="ListBullet"/>
        <w:spacing w:after="52" w:line="259" w:lineRule="auto"/>
        <w:ind w:left="312" w:hanging="142"/>
        <w:keepLines w:val="1"/>
        <w:widowControl w:val="1"/>
      </w:pPr>
      <w:r>
        <w:rPr>
          <w:rFonts w:ascii="Arial" w:hAnsi="Arial" w:eastAsia="Arial"/>
          <w:color w:val="1F2937"/>
          <w:sz w:val="19"/>
        </w:rPr>
        <w:t>Estructura separada de demanda y cautelar.</w:t>
      </w:r>
    </w:p>
    <w:p>
      <w:pPr>
        <w:spacing w:before="140" w:after="60" w:line="240" w:lineRule="auto"/>
        <w:keepLines w:val="1"/>
        <w:widowControl w:val="1"/>
        <w:keepNext w:val="1"/>
      </w:pPr>
      <w:r>
        <w:rPr>
          <w:rFonts w:ascii="Arial" w:hAnsi="Arial" w:eastAsia="Arial"/>
          <w:b/>
          <w:color w:val="17365D"/>
          <w:sz w:val="21"/>
        </w:rPr>
        <w:t>Intervenciones autorizadas</w:t>
      </w:r>
    </w:p>
    <w:p>
      <w:pPr>
        <w:pStyle w:val="ListBullet"/>
        <w:spacing w:after="52" w:line="259" w:lineRule="auto"/>
        <w:ind w:left="312" w:hanging="142"/>
        <w:keepLines w:val="1"/>
        <w:widowControl w:val="1"/>
      </w:pPr>
      <w:r>
        <w:rPr>
          <w:rFonts w:ascii="Arial" w:hAnsi="Arial" w:eastAsia="Arial"/>
          <w:color w:val="1F2937"/>
          <w:sz w:val="19"/>
        </w:rPr>
        <w:t>Sustituir únicamente los campos variables señalados por la plantilla con información evidenciada.</w:t>
      </w:r>
    </w:p>
    <w:p>
      <w:pPr>
        <w:pStyle w:val="ListBullet"/>
        <w:spacing w:after="52" w:line="259" w:lineRule="auto"/>
        <w:ind w:left="312" w:hanging="142"/>
        <w:keepLines w:val="1"/>
        <w:widowControl w:val="1"/>
      </w:pPr>
      <w:r>
        <w:rPr>
          <w:rFonts w:ascii="Arial" w:hAnsi="Arial" w:eastAsia="Arial"/>
          <w:color w:val="1F2937"/>
          <w:sz w:val="19"/>
        </w:rPr>
        <w:t>Resolver alternativas internas —singular/plural, mínima/menor/mayor, deudor/codeudor/avalista— dejando una sola opción correcta.</w:t>
      </w:r>
    </w:p>
    <w:p>
      <w:pPr>
        <w:pStyle w:val="ListBullet"/>
        <w:spacing w:after="52" w:line="259" w:lineRule="auto"/>
        <w:ind w:left="312" w:hanging="142"/>
        <w:keepLines w:val="1"/>
        <w:widowControl w:val="1"/>
      </w:pPr>
      <w:r>
        <w:rPr>
          <w:rFonts w:ascii="Arial" w:hAnsi="Arial" w:eastAsia="Arial"/>
          <w:color w:val="1F2937"/>
          <w:sz w:val="19"/>
        </w:rPr>
        <w:t>Activar o eliminar exclusivamente módulos opcionales ya previstos en la cautelar, según soporte. Suprimir un módulo no aplicable no equivale a alterar el formato.</w:t>
      </w:r>
    </w:p>
    <w:p>
      <w:pPr>
        <w:pStyle w:val="ListBullet"/>
        <w:spacing w:after="52" w:line="259" w:lineRule="auto"/>
        <w:ind w:left="312" w:hanging="142"/>
        <w:keepLines w:val="1"/>
        <w:widowControl w:val="1"/>
      </w:pPr>
      <w:r>
        <w:rPr>
          <w:rFonts w:ascii="Arial" w:hAnsi="Arial" w:eastAsia="Arial"/>
          <w:color w:val="1F2937"/>
          <w:sz w:val="19"/>
        </w:rPr>
        <w:t>Eliminar instrucciones internas, marcadores, resaltados y notas de diligenciamiento en la copia para firma.</w:t>
      </w:r>
    </w:p>
    <w:tbl>
      <w:tblPr>
        <w:tblW w:type="auto" w:w="0"/>
        <w:jc w:val="center"/>
        <w:tblLayout w:type="autofit"/>
        <w:tblLook w:firstColumn="1" w:firstRow="1" w:lastColumn="0" w:lastRow="0" w:noHBand="0" w:noVBand="1" w:val="04A0"/>
      </w:tblPr>
      <w:tblGrid>
        <w:gridCol w:w="9576"/>
      </w:tblGrid>
      <w:tr>
        <w:trPr>
          <w:cantSplit/>
        </w:trPr>
        <w:tc>
          <w:tcPr>
            <w:tcW w:type="dxa" w:w="9576"/>
            <w:shd w:fill="FDECEC"/>
            <w:tcMar>
              <w:top w:w="115" w:type="dxa"/>
              <w:start w:w="140" w:type="dxa"/>
              <w:bottom w:w="115" w:type="dxa"/>
              <w:end w:w="140" w:type="dxa"/>
            </w:tcMar>
          </w:tcPr>
          <w:p>
            <w:pPr>
              <w:spacing w:before="0" w:after="40" w:line="252" w:lineRule="auto"/>
              <w:keepLines w:val="1"/>
              <w:widowControl w:val="1"/>
            </w:pPr>
            <w:r>
              <w:rPr>
                <w:rFonts w:ascii="Arial" w:hAnsi="Arial" w:eastAsia="Arial"/>
                <w:b/>
                <w:color w:val="A61B1B"/>
                <w:sz w:val="19"/>
              </w:rPr>
              <w:t>ALERTA DE HOMOLOGACIÓN</w:t>
            </w:r>
          </w:p>
          <w:p>
            <w:pPr>
              <w:spacing w:before="0" w:after="0" w:line="259" w:lineRule="auto"/>
              <w:keepLines w:val="1"/>
              <w:widowControl w:val="1"/>
            </w:pPr>
            <w:r>
              <w:rPr>
                <w:rFonts w:ascii="Arial" w:hAnsi="Arial" w:eastAsia="Arial"/>
                <w:color w:val="1F2937"/>
                <w:sz w:val="19"/>
              </w:rPr>
              <w:t>Si una cláusula fija contradice la ley vigente, el título, el poder o los anexos, no se corrige silenciosamente ni se radica. Se presenta a Dirección Jurídica: texto original, defecto, consecuencia, fuente oficial, propuesta mínima y nueva versión. Hasta su aprobación, la plantilla queda “NO HOMOLOGADA” para ese punto.</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5. ROL DE REVISIÓN Y REGLAS NO NEGOCIABLES</w:t>
      </w:r>
    </w:p>
    <w:p>
      <w:pPr>
        <w:spacing w:before="0" w:after="100" w:line="269" w:lineRule="auto"/>
        <w:keepLines w:val="1"/>
        <w:widowControl w:val="1"/>
      </w:pPr>
      <w:r>
        <w:rPr>
          <w:rFonts w:ascii="Arial" w:hAnsi="Arial" w:eastAsia="Arial"/>
          <w:i w:val="0"/>
          <w:color w:val="1F2937"/>
          <w:sz w:val="20"/>
        </w:rPr>
        <w:t>Cada expediente se examina simultáneamente como:</w:t>
      </w:r>
    </w:p>
    <w:p>
      <w:pPr>
        <w:spacing w:after="52" w:line="259" w:lineRule="auto"/>
        <w:ind w:left="312" w:hanging="198"/>
        <w:keepLines w:val="1"/>
        <w:widowControl w:val="1"/>
      </w:pPr>
      <w:r>
        <w:rPr>
          <w:rFonts w:ascii="Arial" w:hAnsi="Arial"/>
          <w:sz w:val="19"/>
        </w:rPr>
        <w:t>1. Abogado de la demandante: formula la acción más sólida que permiten los documentos, sin excederlos.</w:t>
      </w:r>
    </w:p>
    <w:p>
      <w:pPr>
        <w:spacing w:after="52" w:line="259" w:lineRule="auto"/>
        <w:ind w:left="312" w:hanging="198"/>
        <w:keepLines w:val="1"/>
        <w:widowControl w:val="1"/>
      </w:pPr>
      <w:r>
        <w:rPr>
          <w:rFonts w:ascii="Arial" w:hAnsi="Arial"/>
          <w:sz w:val="19"/>
        </w:rPr>
        <w:t>2. Juez de calificación: busca inadmisión, rechazo, falta de competencia, falta de personería, negativa del mandamiento y cautelas improcedentes.</w:t>
      </w:r>
    </w:p>
    <w:p>
      <w:pPr>
        <w:spacing w:after="52" w:line="259" w:lineRule="auto"/>
        <w:ind w:left="312" w:hanging="198"/>
        <w:keepLines w:val="1"/>
        <w:widowControl w:val="1"/>
      </w:pPr>
      <w:r>
        <w:rPr>
          <w:rFonts w:ascii="Arial" w:hAnsi="Arial"/>
          <w:sz w:val="19"/>
        </w:rPr>
        <w:t>3. Abogado de la defensa: busca excepciones, pagos, prescripción, instrucciones incumplidas, aceleración defectuosa, intereses indebidos, insolvencia y nulidades.</w:t>
      </w:r>
    </w:p>
    <w:p>
      <w:pPr>
        <w:pStyle w:val="ListBullet"/>
        <w:spacing w:after="52" w:line="259" w:lineRule="auto"/>
        <w:ind w:left="312" w:hanging="142"/>
        <w:keepLines w:val="1"/>
        <w:widowControl w:val="1"/>
      </w:pPr>
      <w:r>
        <w:rPr>
          <w:rFonts w:ascii="Arial" w:hAnsi="Arial" w:eastAsia="Arial"/>
          <w:b/>
          <w:color w:val="1F2937"/>
          <w:sz w:val="19"/>
        </w:rPr>
        <w:t xml:space="preserve">Cero invención. </w:t>
      </w:r>
      <w:r>
        <w:rPr>
          <w:rFonts w:ascii="Arial" w:hAnsi="Arial" w:eastAsia="Arial"/>
          <w:color w:val="1F2937"/>
          <w:sz w:val="19"/>
        </w:rPr>
        <w:t>No crear datos, firmas, fechas, montos, tasas, domicilios, correos, bienes, empleadores, estados concursales o contenido del título.</w:t>
      </w:r>
    </w:p>
    <w:p>
      <w:pPr>
        <w:pStyle w:val="ListBullet"/>
        <w:spacing w:after="52" w:line="259" w:lineRule="auto"/>
        <w:ind w:left="312" w:hanging="142"/>
        <w:keepLines w:val="1"/>
        <w:widowControl w:val="1"/>
      </w:pPr>
      <w:r>
        <w:rPr>
          <w:rFonts w:ascii="Arial" w:hAnsi="Arial" w:eastAsia="Arial"/>
          <w:b/>
          <w:color w:val="1F2937"/>
          <w:sz w:val="19"/>
        </w:rPr>
        <w:t xml:space="preserve">Prueba antes que narrativa. </w:t>
      </w:r>
      <w:r>
        <w:rPr>
          <w:rFonts w:ascii="Arial" w:hAnsi="Arial" w:eastAsia="Arial"/>
          <w:color w:val="1F2937"/>
          <w:sz w:val="19"/>
        </w:rPr>
        <w:t>Todo hecho y cifra crítica debe enlazarse a archivo, página o folio.</w:t>
      </w:r>
    </w:p>
    <w:p>
      <w:pPr>
        <w:pStyle w:val="ListBullet"/>
        <w:spacing w:after="52" w:line="259" w:lineRule="auto"/>
        <w:ind w:left="312" w:hanging="142"/>
        <w:keepLines w:val="1"/>
        <w:widowControl w:val="1"/>
      </w:pPr>
      <w:r>
        <w:rPr>
          <w:rFonts w:ascii="Arial" w:hAnsi="Arial" w:eastAsia="Arial"/>
          <w:b/>
          <w:color w:val="1F2937"/>
          <w:sz w:val="19"/>
        </w:rPr>
        <w:t xml:space="preserve">Una sola verdad documental. </w:t>
      </w:r>
      <w:r>
        <w:rPr>
          <w:rFonts w:ascii="Arial" w:hAnsi="Arial" w:eastAsia="Arial"/>
          <w:color w:val="1F2937"/>
          <w:sz w:val="19"/>
        </w:rPr>
        <w:t>Demandante, demandado, título, obligación, fechas, capital, tasas, correo, poder, anexos y firma deben coincidir en todos los escritos.</w:t>
      </w:r>
    </w:p>
    <w:p>
      <w:pPr>
        <w:pStyle w:val="ListBullet"/>
        <w:spacing w:after="52" w:line="259" w:lineRule="auto"/>
        <w:ind w:left="312" w:hanging="142"/>
        <w:keepLines w:val="1"/>
        <w:widowControl w:val="1"/>
      </w:pPr>
      <w:r>
        <w:rPr>
          <w:rFonts w:ascii="Arial" w:hAnsi="Arial" w:eastAsia="Arial"/>
          <w:b/>
          <w:color w:val="1F2937"/>
          <w:sz w:val="19"/>
        </w:rPr>
        <w:t xml:space="preserve">Bloqueo ante duda. </w:t>
      </w:r>
      <w:r>
        <w:rPr>
          <w:rFonts w:ascii="Arial" w:hAnsi="Arial" w:eastAsia="Arial"/>
          <w:color w:val="1F2937"/>
          <w:sz w:val="19"/>
        </w:rPr>
        <w:t>Un dato contradictorio, ilegible, incompleto o no verificado no se “rellena”: se solicita y bloquea la salida afectada.</w:t>
      </w:r>
    </w:p>
    <w:p>
      <w:pPr>
        <w:pStyle w:val="ListBullet"/>
        <w:spacing w:after="52" w:line="259" w:lineRule="auto"/>
        <w:ind w:left="312" w:hanging="142"/>
        <w:keepLines w:val="1"/>
        <w:widowControl w:val="1"/>
      </w:pPr>
      <w:r>
        <w:rPr>
          <w:rFonts w:ascii="Arial" w:hAnsi="Arial" w:eastAsia="Arial"/>
          <w:b/>
          <w:color w:val="1F2937"/>
          <w:sz w:val="19"/>
        </w:rPr>
        <w:t xml:space="preserve">No temeridad. </w:t>
      </w:r>
      <w:r>
        <w:rPr>
          <w:rFonts w:ascii="Arial" w:hAnsi="Arial" w:eastAsia="Arial"/>
          <w:color w:val="1F2937"/>
          <w:sz w:val="19"/>
        </w:rPr>
        <w:t>No formular hechos incompatibles, juramentos que no pueda realizar quien los suscribe, pretensiones sin título ni cautelas de presión.</w:t>
      </w:r>
    </w:p>
    <w:p>
      <w:pPr>
        <w:pStyle w:val="ListBullet"/>
        <w:spacing w:after="52" w:line="259" w:lineRule="auto"/>
        <w:ind w:left="312" w:hanging="142"/>
        <w:keepLines w:val="1"/>
        <w:widowControl w:val="1"/>
      </w:pPr>
      <w:r>
        <w:rPr>
          <w:rFonts w:ascii="Arial" w:hAnsi="Arial" w:eastAsia="Arial"/>
          <w:b/>
          <w:color w:val="1F2937"/>
          <w:sz w:val="19"/>
        </w:rPr>
        <w:t xml:space="preserve">Derecho vigente. </w:t>
      </w:r>
      <w:r>
        <w:rPr>
          <w:rFonts w:ascii="Arial" w:hAnsi="Arial" w:eastAsia="Arial"/>
          <w:color w:val="1F2937"/>
          <w:sz w:val="19"/>
        </w:rPr>
        <w:t>No citar de memoria. Verificar la norma decisiva y sus reformas en fuente oficial el día de la radicación.</w:t>
      </w:r>
    </w:p>
    <w:p>
      <w:pPr>
        <w:pStyle w:val="ListBullet"/>
        <w:spacing w:after="52" w:line="259" w:lineRule="auto"/>
        <w:ind w:left="312" w:hanging="142"/>
        <w:keepLines w:val="1"/>
        <w:widowControl w:val="1"/>
      </w:pPr>
      <w:r>
        <w:rPr>
          <w:rFonts w:ascii="Arial" w:hAnsi="Arial" w:eastAsia="Arial"/>
          <w:b/>
          <w:color w:val="1F2937"/>
          <w:sz w:val="19"/>
        </w:rPr>
        <w:t xml:space="preserve">No jurisprudencia decorativa. </w:t>
      </w:r>
      <w:r>
        <w:rPr>
          <w:rFonts w:ascii="Arial" w:hAnsi="Arial" w:eastAsia="Arial"/>
          <w:color w:val="1F2937"/>
          <w:sz w:val="19"/>
        </w:rPr>
        <w:t>Solo usar una providencia con fuente oficial, hechos relevantes, problema, ratio, regla, similitud y límites.</w:t>
      </w:r>
    </w:p>
    <w:p>
      <w:pPr>
        <w:pStyle w:val="ListBullet"/>
        <w:spacing w:after="52" w:line="259" w:lineRule="auto"/>
        <w:ind w:left="312" w:hanging="142"/>
        <w:keepLines w:val="1"/>
        <w:widowControl w:val="1"/>
      </w:pPr>
      <w:r>
        <w:rPr>
          <w:rFonts w:ascii="Arial" w:hAnsi="Arial" w:eastAsia="Arial"/>
          <w:b/>
          <w:color w:val="1F2937"/>
          <w:sz w:val="19"/>
        </w:rPr>
        <w:t xml:space="preserve">Concisión funcional. </w:t>
      </w:r>
      <w:r>
        <w:rPr>
          <w:rFonts w:ascii="Arial" w:hAnsi="Arial" w:eastAsia="Arial"/>
          <w:color w:val="1F2937"/>
          <w:sz w:val="19"/>
        </w:rPr>
        <w:t>Cada párrafo debe identificar, probar, cuantificar, justificar competencia o pedir una decisión. Si no cumple una función, se elimina.</w:t>
      </w:r>
    </w:p>
    <w:p>
      <w:pPr>
        <w:pStyle w:val="ListBullet"/>
        <w:spacing w:after="52" w:line="259" w:lineRule="auto"/>
        <w:ind w:left="312" w:hanging="142"/>
        <w:keepLines w:val="1"/>
        <w:widowControl w:val="1"/>
      </w:pPr>
      <w:r>
        <w:rPr>
          <w:rFonts w:ascii="Arial" w:hAnsi="Arial" w:eastAsia="Arial"/>
          <w:b/>
          <w:color w:val="1F2937"/>
          <w:sz w:val="19"/>
        </w:rPr>
        <w:t xml:space="preserve">Protección de datos. </w:t>
      </w:r>
      <w:r>
        <w:rPr>
          <w:rFonts w:ascii="Arial" w:hAnsi="Arial" w:eastAsia="Arial"/>
          <w:color w:val="1F2937"/>
          <w:sz w:val="19"/>
        </w:rPr>
        <w:t>Usar únicamente información necesaria, obtenida lícitamente, con finalidad procesal y circulación restringida.</w:t>
      </w:r>
    </w:p>
    <w:p>
      <w:pPr>
        <w:pStyle w:val="ListBullet"/>
        <w:spacing w:after="52" w:line="259" w:lineRule="auto"/>
        <w:ind w:left="312" w:hanging="142"/>
        <w:keepLines w:val="1"/>
        <w:widowControl w:val="1"/>
      </w:pPr>
      <w:r>
        <w:rPr>
          <w:rFonts w:ascii="Arial" w:hAnsi="Arial" w:eastAsia="Arial"/>
          <w:b/>
          <w:color w:val="1F2937"/>
          <w:sz w:val="19"/>
        </w:rPr>
        <w:t xml:space="preserve">Versión limpia. </w:t>
      </w:r>
      <w:r>
        <w:rPr>
          <w:rFonts w:ascii="Arial" w:hAnsi="Arial" w:eastAsia="Arial"/>
          <w:color w:val="1F2937"/>
          <w:sz w:val="19"/>
        </w:rPr>
        <w:t>La copia para firma no puede contener corchetes, alternativas, resaltados, comentarios, instrucciones ni datos de otro expediente.</w:t>
      </w:r>
    </w:p>
    <w:p>
      <w:pPr>
        <w:spacing w:before="220" w:after="100" w:line="240" w:lineRule="auto"/>
        <w:keepLines w:val="1"/>
        <w:pageBreakBefore/>
        <w:widowControl w:val="1"/>
        <w:pBdr>
          <w:bottom w:val="single" w:sz="8" w:space="3" w:color="C69A45"/>
        </w:pBdr>
        <w:keepNext w:val="1"/>
      </w:pPr>
      <w:r>
        <w:rPr>
          <w:rFonts w:ascii="Arial" w:hAnsi="Arial" w:eastAsia="Arial"/>
          <w:b/>
          <w:color w:val="17365D"/>
          <w:sz w:val="25"/>
        </w:rPr>
        <w:t>6. CLASIFICACIÓN OBLIGATORIA DE CERTEZA</w:t>
      </w:r>
    </w:p>
    <w:tbl>
      <w:tblPr>
        <w:tblStyle w:val="TableGrid"/>
        <w:tblW w:type="auto" w:w="0"/>
        <w:jc w:val="center"/>
        <w:tblLayout w:type="autofit"/>
        <w:tblLook w:firstColumn="1" w:firstRow="1" w:lastColumn="0" w:lastRow="0" w:noHBand="0" w:noVBand="1" w:val="04A0"/>
      </w:tblPr>
      <w:tblGrid>
        <w:gridCol w:w="3192"/>
        <w:gridCol w:w="3192"/>
        <w:gridCol w:w="3192"/>
      </w:tblGrid>
      <w:tr>
        <w:trPr>
          <w:tblHeader w:val="true"/>
          <w:cantSplit/>
        </w:trPr>
        <w:tc>
          <w:tcPr>
            <w:tcW w:type="dxa" w:w="181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Estado</w:t>
            </w:r>
          </w:p>
        </w:tc>
        <w:tc>
          <w:tcPr>
            <w:tcW w:type="dxa" w:w="4082"/>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Definición</w:t>
            </w:r>
          </w:p>
        </w:tc>
        <w:tc>
          <w:tcPr>
            <w:tcW w:type="dxa" w:w="3402"/>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Tratamiento</w:t>
            </w:r>
          </w:p>
        </w:tc>
      </w:tr>
      <w:tr>
        <w:trPr>
          <w:cantSplit/>
        </w:trPr>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EVIDENCIADO</w:t>
            </w:r>
          </w:p>
        </w:tc>
        <w:tc>
          <w:tcPr>
            <w:tcW w:type="dxa" w:w="408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Consta de forma directa, legible y completa en documento idóneo.</w:t>
            </w:r>
          </w:p>
        </w:tc>
        <w:tc>
          <w:tcPr>
            <w:tcW w:type="dxa" w:w="34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Puede incorporarse citando archivo y página.</w:t>
            </w:r>
          </w:p>
        </w:tc>
      </w:tr>
      <w:tr>
        <w:trPr>
          <w:cantSplit/>
        </w:trPr>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COINCIDENTE</w:t>
            </w:r>
          </w:p>
        </w:tc>
        <w:tc>
          <w:tcPr>
            <w:tcW w:type="dxa" w:w="408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Dos o más fuentes independientes concuerdan.</w:t>
            </w:r>
          </w:p>
        </w:tc>
        <w:tc>
          <w:tcPr>
            <w:tcW w:type="dxa" w:w="340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Refuerza un dato evidenciado; no sustituye el original requerido.</w:t>
            </w:r>
          </w:p>
        </w:tc>
      </w:tr>
      <w:tr>
        <w:trPr>
          <w:cantSplit/>
        </w:trPr>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INFERENCIA</w:t>
            </w:r>
          </w:p>
        </w:tc>
        <w:tc>
          <w:tcPr>
            <w:tcW w:type="dxa" w:w="408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Conclusión lógica que no aparece expresamente.</w:t>
            </w:r>
          </w:p>
        </w:tc>
        <w:tc>
          <w:tcPr>
            <w:tcW w:type="dxa" w:w="34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 se presenta como hecho; requiere validación antes de la versión final.</w:t>
            </w:r>
          </w:p>
        </w:tc>
      </w:tr>
      <w:tr>
        <w:trPr>
          <w:cantSplit/>
        </w:trPr>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NO VERIFICADO</w:t>
            </w:r>
          </w:p>
        </w:tc>
        <w:tc>
          <w:tcPr>
            <w:tcW w:type="dxa" w:w="408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No hay soporte suficiente o está desactualizado.</w:t>
            </w:r>
          </w:p>
        </w:tc>
        <w:tc>
          <w:tcPr>
            <w:tcW w:type="dxa" w:w="340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Bloquea el campo o módulo afectado.</w:t>
            </w:r>
          </w:p>
        </w:tc>
      </w:tr>
      <w:tr>
        <w:trPr>
          <w:cantSplit/>
        </w:trPr>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CONTRADICTORIO</w:t>
            </w:r>
          </w:p>
        </w:tc>
        <w:tc>
          <w:tcPr>
            <w:tcW w:type="dxa" w:w="408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Dos fuentes relevantes difieren.</w:t>
            </w:r>
          </w:p>
        </w:tc>
        <w:tc>
          <w:tcPr>
            <w:tcW w:type="dxa" w:w="34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Bloqueo obligatorio hasta aclaración documental.</w:t>
            </w:r>
          </w:p>
        </w:tc>
      </w:tr>
      <w:tr>
        <w:trPr>
          <w:cantSplit/>
        </w:trPr>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ILEGIBLE / INCOMPLETO</w:t>
            </w:r>
          </w:p>
        </w:tc>
        <w:tc>
          <w:tcPr>
            <w:tcW w:type="dxa" w:w="408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Falta firma, página, reverso, anexo, trazabilidad o calidad visual.</w:t>
            </w:r>
          </w:p>
        </w:tc>
        <w:tc>
          <w:tcPr>
            <w:tcW w:type="dxa" w:w="340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No se usa; se solicita copia íntegra y legible.</w:t>
            </w:r>
          </w:p>
        </w:tc>
      </w:tr>
      <w:tr>
        <w:trPr>
          <w:cantSplit/>
        </w:trPr>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 APLICA</w:t>
            </w:r>
          </w:p>
        </w:tc>
        <w:tc>
          <w:tcPr>
            <w:tcW w:type="dxa" w:w="408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El dato o módulo no corresponde al caso.</w:t>
            </w:r>
          </w:p>
        </w:tc>
        <w:tc>
          <w:tcPr>
            <w:tcW w:type="dxa" w:w="340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Se elimina de la copia final sin dejar rastro de la alternativa.</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7. PUERTA DE ENTRADA: INVENTARIO Y MATRIZ DATO–SOPORTE</w:t>
      </w:r>
    </w:p>
    <w:p>
      <w:pPr>
        <w:spacing w:before="0" w:after="100" w:line="269" w:lineRule="auto"/>
        <w:keepLines w:val="1"/>
        <w:widowControl w:val="1"/>
      </w:pPr>
      <w:r>
        <w:rPr>
          <w:rFonts w:ascii="Arial" w:hAnsi="Arial" w:eastAsia="Arial"/>
          <w:i w:val="0"/>
          <w:color w:val="1F2937"/>
          <w:sz w:val="20"/>
        </w:rPr>
        <w:t>Antes de abrir la plantilla, se congela el inventario del expediente. Cada archivo recibe nombre, fecha, versión, número de páginas y estado de legibilidad. Se excluyen documentos de otros asuntos, duplicados y versiones obsoletas.</w:t>
      </w:r>
    </w:p>
    <w:tbl>
      <w:tblPr>
        <w:tblStyle w:val="TableGrid"/>
        <w:tblW w:type="auto" w:w="0"/>
        <w:jc w:val="center"/>
        <w:tblLayout w:type="autofit"/>
        <w:tblLook w:firstColumn="1" w:firstRow="1" w:lastColumn="0" w:lastRow="0" w:noHBand="0" w:noVBand="1" w:val="04A0"/>
      </w:tblPr>
      <w:tblGrid>
        <w:gridCol w:w="1915"/>
        <w:gridCol w:w="1915"/>
        <w:gridCol w:w="1915"/>
        <w:gridCol w:w="1915"/>
        <w:gridCol w:w="1915"/>
      </w:tblGrid>
      <w:tr>
        <w:trPr>
          <w:tblHeader w:val="true"/>
          <w:cantSplit/>
        </w:trPr>
        <w:tc>
          <w:tcPr>
            <w:tcW w:type="dxa" w:w="238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Campo crítico</w:t>
            </w:r>
          </w:p>
        </w:tc>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Dato</w:t>
            </w:r>
          </w:p>
        </w:tc>
        <w:tc>
          <w:tcPr>
            <w:tcW w:type="dxa" w:w="198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Archivo / página</w:t>
            </w:r>
          </w:p>
        </w:tc>
        <w:tc>
          <w:tcPr>
            <w:tcW w:type="dxa" w:w="124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Estado</w:t>
            </w:r>
          </w:p>
        </w:tc>
        <w:tc>
          <w:tcPr>
            <w:tcW w:type="dxa" w:w="181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Observación</w:t>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Demandante y representación</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Demandado(s) y calidad</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Pagaré / obligación</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Negocio y desembolso</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Vencimiento / aceleración</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Capital insoluto</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Intereses de plazo</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Intereses moratorios</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Pagos y acuerdos</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Prescripción</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Domicilio / cumplimiento</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Poder / firmante / RNA</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Canal digital / fuente</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Arbitraje</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Insolvencia / sucesión</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Bienes / cautelas</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8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bl>
    <w:p>
      <w:pPr>
        <w:spacing w:before="0" w:after="0" w:line="240" w:lineRule="auto"/>
        <w:keepLines w:val="1"/>
        <w:widowControl w:val="1"/>
      </w:pPr>
    </w:p>
    <w:p>
      <w:pPr>
        <w:spacing w:before="140" w:after="60" w:line="240" w:lineRule="auto"/>
        <w:keepLines w:val="1"/>
        <w:widowControl w:val="1"/>
        <w:keepNext w:val="1"/>
      </w:pPr>
      <w:r>
        <w:rPr>
          <w:rFonts w:ascii="Arial" w:hAnsi="Arial" w:eastAsia="Arial"/>
          <w:b/>
          <w:color w:val="17365D"/>
          <w:sz w:val="21"/>
        </w:rPr>
        <w:t>Documentos mínimos, según aplique</w:t>
      </w:r>
    </w:p>
    <w:p>
      <w:pPr>
        <w:pStyle w:val="ListBullet"/>
        <w:spacing w:after="52" w:line="259" w:lineRule="auto"/>
        <w:ind w:left="312" w:hanging="142"/>
        <w:keepLines w:val="1"/>
        <w:widowControl w:val="1"/>
      </w:pPr>
      <w:r>
        <w:rPr>
          <w:rFonts w:ascii="Arial" w:hAnsi="Arial" w:eastAsia="Arial"/>
          <w:color w:val="1F2937"/>
          <w:sz w:val="19"/>
        </w:rPr>
        <w:t>Plantillas canónicas v2.0, sin alteraciones.</w:t>
      </w:r>
    </w:p>
    <w:p>
      <w:pPr>
        <w:pStyle w:val="ListBullet"/>
        <w:spacing w:after="52" w:line="259" w:lineRule="auto"/>
        <w:ind w:left="312" w:hanging="142"/>
        <w:keepLines w:val="1"/>
        <w:widowControl w:val="1"/>
      </w:pPr>
      <w:r>
        <w:rPr>
          <w:rFonts w:ascii="Arial" w:hAnsi="Arial" w:eastAsia="Arial"/>
          <w:color w:val="1F2937"/>
          <w:sz w:val="19"/>
        </w:rPr>
        <w:t>Certificado vigente de existencia y representación de CREARCOOP.</w:t>
      </w:r>
    </w:p>
    <w:p>
      <w:pPr>
        <w:pStyle w:val="ListBullet"/>
        <w:spacing w:after="52" w:line="259" w:lineRule="auto"/>
        <w:ind w:left="312" w:hanging="142"/>
        <w:keepLines w:val="1"/>
        <w:widowControl w:val="1"/>
      </w:pPr>
      <w:r>
        <w:rPr>
          <w:rFonts w:ascii="Arial" w:hAnsi="Arial" w:eastAsia="Arial"/>
          <w:color w:val="1F2937"/>
          <w:sz w:val="19"/>
        </w:rPr>
        <w:t>Poder especial y trazabilidad completa; certificado de ABOGADOS EN COLOMBIA S.A.S.; acreditación del abogado actuante y correo del Registro Nacional de Abogados.</w:t>
      </w:r>
    </w:p>
    <w:p>
      <w:pPr>
        <w:pStyle w:val="ListBullet"/>
        <w:spacing w:after="52" w:line="259" w:lineRule="auto"/>
        <w:ind w:left="312" w:hanging="142"/>
        <w:keepLines w:val="1"/>
        <w:widowControl w:val="1"/>
      </w:pPr>
      <w:r>
        <w:rPr>
          <w:rFonts w:ascii="Arial" w:hAnsi="Arial" w:eastAsia="Arial"/>
          <w:color w:val="1F2937"/>
          <w:sz w:val="19"/>
        </w:rPr>
        <w:t>Pagaré íntegro, anverso y reverso, en alta resolución; carta de instrucciones si hubo espacios en blanco; certificación de custodia del original.</w:t>
      </w:r>
    </w:p>
    <w:p>
      <w:pPr>
        <w:pStyle w:val="ListBullet"/>
        <w:spacing w:after="52" w:line="259" w:lineRule="auto"/>
        <w:ind w:left="312" w:hanging="142"/>
        <w:keepLines w:val="1"/>
        <w:widowControl w:val="1"/>
      </w:pPr>
      <w:r>
        <w:rPr>
          <w:rFonts w:ascii="Arial" w:hAnsi="Arial" w:eastAsia="Arial"/>
          <w:color w:val="1F2937"/>
          <w:sz w:val="19"/>
        </w:rPr>
        <w:t>Solicitud/contrato de crédito, desembolso, extracto de movimientos, estado de cuenta y memoria de liquidación.</w:t>
      </w:r>
    </w:p>
    <w:p>
      <w:pPr>
        <w:pStyle w:val="ListBullet"/>
        <w:spacing w:after="52" w:line="259" w:lineRule="auto"/>
        <w:ind w:left="312" w:hanging="142"/>
        <w:keepLines w:val="1"/>
        <w:widowControl w:val="1"/>
      </w:pPr>
      <w:r>
        <w:rPr>
          <w:rFonts w:ascii="Arial" w:hAnsi="Arial" w:eastAsia="Arial"/>
          <w:color w:val="1F2937"/>
          <w:sz w:val="19"/>
        </w:rPr>
        <w:t>Relación de pagos, acuerdos, reestructuraciones, novaciones, condonaciones, seguros y subrogaciones.</w:t>
      </w:r>
    </w:p>
    <w:p>
      <w:pPr>
        <w:pStyle w:val="ListBullet"/>
        <w:spacing w:after="52" w:line="259" w:lineRule="auto"/>
        <w:ind w:left="312" w:hanging="142"/>
        <w:keepLines w:val="1"/>
        <w:widowControl w:val="1"/>
      </w:pPr>
      <w:r>
        <w:rPr>
          <w:rFonts w:ascii="Arial" w:hAnsi="Arial" w:eastAsia="Arial"/>
          <w:color w:val="1F2937"/>
          <w:sz w:val="19"/>
        </w:rPr>
        <w:t>Documento de identidad y soportes de domicilio, lugar de cumplimiento y canal de notificación del ejecutado.</w:t>
      </w:r>
    </w:p>
    <w:p>
      <w:pPr>
        <w:pStyle w:val="ListBullet"/>
        <w:spacing w:after="52" w:line="259" w:lineRule="auto"/>
        <w:ind w:left="312" w:hanging="142"/>
        <w:keepLines w:val="1"/>
        <w:widowControl w:val="1"/>
      </w:pPr>
      <w:r>
        <w:rPr>
          <w:rFonts w:ascii="Arial" w:hAnsi="Arial" w:eastAsia="Arial"/>
          <w:color w:val="1F2937"/>
          <w:sz w:val="19"/>
        </w:rPr>
        <w:t>Soporte lícito y actualizado de empleador, pagador, entidad financiera, inmueble, vehículo, crédito, remanente u otro bien cautelable.</w:t>
      </w:r>
    </w:p>
    <w:p>
      <w:pPr>
        <w:pStyle w:val="ListBullet"/>
        <w:spacing w:after="52" w:line="259" w:lineRule="auto"/>
        <w:ind w:left="312" w:hanging="142"/>
        <w:keepLines w:val="1"/>
        <w:widowControl w:val="1"/>
      </w:pPr>
      <w:r>
        <w:rPr>
          <w:rFonts w:ascii="Arial" w:hAnsi="Arial" w:eastAsia="Arial"/>
          <w:color w:val="1F2937"/>
          <w:sz w:val="19"/>
        </w:rPr>
        <w:t>Verificación de insolvencia, reorganización, liquidación, sucesión, fallecimiento, procesos previos, acuerdos y medidas existentes.</w:t>
      </w:r>
    </w:p>
    <w:p>
      <w:pPr>
        <w:pStyle w:val="ListBullet"/>
        <w:spacing w:after="52" w:line="259" w:lineRule="auto"/>
        <w:ind w:left="312" w:hanging="142"/>
        <w:keepLines w:val="1"/>
        <w:widowControl w:val="1"/>
      </w:pPr>
      <w:r>
        <w:rPr>
          <w:rFonts w:ascii="Arial" w:hAnsi="Arial" w:eastAsia="Arial"/>
          <w:color w:val="1F2937"/>
          <w:sz w:val="19"/>
        </w:rPr>
        <w:t>Pacto arbitral o contrato que pueda contenerlo; garantía mobiliaria o libranza cuando existan.</w:t>
      </w:r>
    </w:p>
    <w:tbl>
      <w:tblPr>
        <w:tblW w:type="auto" w:w="0"/>
        <w:jc w:val="center"/>
        <w:tblLayout w:type="autofit"/>
        <w:tblLook w:firstColumn="1" w:firstRow="1" w:lastColumn="0" w:lastRow="0" w:noHBand="0" w:noVBand="1" w:val="04A0"/>
      </w:tblPr>
      <w:tblGrid>
        <w:gridCol w:w="9576"/>
      </w:tblGrid>
      <w:tr>
        <w:trPr>
          <w:cantSplit/>
        </w:trPr>
        <w:tc>
          <w:tcPr>
            <w:tcW w:type="dxa" w:w="9576"/>
            <w:shd w:fill="F7F1E4"/>
            <w:tcMar>
              <w:top w:w="115" w:type="dxa"/>
              <w:start w:w="140" w:type="dxa"/>
              <w:bottom w:w="115" w:type="dxa"/>
              <w:end w:w="140" w:type="dxa"/>
            </w:tcMar>
          </w:tcPr>
          <w:p>
            <w:pPr>
              <w:spacing w:before="0" w:after="40" w:line="252" w:lineRule="auto"/>
              <w:keepLines w:val="1"/>
              <w:widowControl w:val="1"/>
            </w:pPr>
            <w:r>
              <w:rPr>
                <w:rFonts w:ascii="Arial" w:hAnsi="Arial" w:eastAsia="Arial"/>
                <w:b/>
                <w:color w:val="9A6700"/>
                <w:sz w:val="19"/>
              </w:rPr>
              <w:t>DOCUMENTO FALTANTE</w:t>
            </w:r>
          </w:p>
          <w:p>
            <w:pPr>
              <w:spacing w:before="0" w:after="0" w:line="259" w:lineRule="auto"/>
              <w:keepLines w:val="1"/>
              <w:widowControl w:val="1"/>
            </w:pPr>
            <w:r>
              <w:rPr>
                <w:rFonts w:ascii="Arial" w:hAnsi="Arial" w:eastAsia="Arial"/>
                <w:color w:val="1F2937"/>
                <w:sz w:val="19"/>
              </w:rPr>
              <w:t>No todo soporte de la lista es obligatorio en todos los casos. Sí son bloqueantes los documentos sin los cuales no puede demostrarse legitimación, personería, título, exigibilidad, cuantía o valor cobrado. Los anexos causales complementan; no deben usarse para fabricar una obligación que no sea ejecutiva.</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8. PUERTAS JURÍDICAS DE APROBACIÓN</w:t>
      </w:r>
    </w:p>
    <w:tbl>
      <w:tblPr>
        <w:tblStyle w:val="TableGrid"/>
        <w:tblW w:type="auto" w:w="0"/>
        <w:jc w:val="center"/>
        <w:tblLayout w:type="autofit"/>
        <w:tblLook w:firstColumn="1" w:firstRow="1" w:lastColumn="0" w:lastRow="0" w:noHBand="0" w:noVBand="1" w:val="04A0"/>
      </w:tblPr>
      <w:tblGrid>
        <w:gridCol w:w="4788"/>
        <w:gridCol w:w="4788"/>
      </w:tblGrid>
      <w:tr>
        <w:trPr>
          <w:tblHeader w:val="true"/>
          <w:cantSplit/>
        </w:trPr>
        <w:tc>
          <w:tcPr>
            <w:tcW w:type="dxa" w:w="232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Puerta</w:t>
            </w:r>
          </w:p>
        </w:tc>
        <w:tc>
          <w:tcPr>
            <w:tcW w:type="dxa" w:w="7030"/>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Criterio de aprobación</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G0 · Vigencia y fuente</w:t>
            </w:r>
          </w:p>
        </w:tc>
        <w:tc>
          <w:tcPr>
            <w:tcW w:type="dxa" w:w="703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Norma decisiva verificada en portal oficial con fecha de corte.</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G1 · Identidad y legitimación</w:t>
            </w:r>
          </w:p>
        </w:tc>
        <w:tc>
          <w:tcPr>
            <w:tcW w:type="dxa" w:w="703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Acreedor actual, obligados correctos, calidad cambiaria, cesiones, endosos y subrogaciones acreditados.</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G2 · Personería</w:t>
            </w:r>
          </w:p>
        </w:tc>
        <w:tc>
          <w:tcPr>
            <w:tcW w:type="dxa" w:w="703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Otorgante facultado, poder válido, sociedad apoderada, abogado habilitado y firmante coincidente.</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G3 · Jurisdicción / arbitraje</w:t>
            </w:r>
          </w:p>
        </w:tc>
        <w:tc>
          <w:tcPr>
            <w:tcW w:type="dxa" w:w="703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Pacto arbitral ejecutivo inexistente o jurídicamente resuelto; foro disponible y competente.</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G4 · Competencia / cuantía</w:t>
            </w:r>
          </w:p>
        </w:tc>
        <w:tc>
          <w:tcPr>
            <w:tcW w:type="dxa" w:w="703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Especialidad, factor territorial, categoría de cuantía y despacho de reparto sustentados.</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G5 · Título ejecutivo</w:t>
            </w:r>
          </w:p>
        </w:tc>
        <w:tc>
          <w:tcPr>
            <w:tcW w:type="dxa" w:w="703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Obligación expresa, clara, exigible y liquidable que proviene del deudor.</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G6 · Pagaré</w:t>
            </w:r>
          </w:p>
        </w:tc>
        <w:tc>
          <w:tcPr>
            <w:tcW w:type="dxa" w:w="703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Requisitos formales, firma, vencimiento, beneficiario, promesa, lugar y llenado conforme.</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G7 · Exigibilidad</w:t>
            </w:r>
          </w:p>
        </w:tc>
        <w:tc>
          <w:tcPr>
            <w:tcW w:type="dxa" w:w="703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Incumplimiento, vencimiento, condición, mora y aceleración definidos con fecha exacta.</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G8 · Prescripción</w:t>
            </w:r>
          </w:p>
        </w:tc>
        <w:tc>
          <w:tcPr>
            <w:tcW w:type="dxa" w:w="703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Término aplicable, inicio, interrupciones y margen para notificar analizados.</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G9 · Liquidación</w:t>
            </w:r>
          </w:p>
        </w:tc>
        <w:tc>
          <w:tcPr>
            <w:tcW w:type="dxa" w:w="703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Capital, pagos, intereses y accesorios reconciliados sin doble cobro.</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G10 · Insolvencia / sucesión</w:t>
            </w:r>
          </w:p>
        </w:tc>
        <w:tc>
          <w:tcPr>
            <w:tcW w:type="dxa" w:w="703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Estado de cada obligado y efectos sobre ejecución y cautelas descartados o gestionados.</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G11 · Digital / cautelar</w:t>
            </w:r>
          </w:p>
        </w:tc>
        <w:tc>
          <w:tcPr>
            <w:tcW w:type="dxa" w:w="703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Canal y fuente, anexos, excepción al envío previo, medida específica, límite e inembargabilidades controlados.</w:t>
            </w:r>
          </w:p>
        </w:tc>
      </w:tr>
    </w:tbl>
    <w:p>
      <w:pPr>
        <w:spacing w:before="0" w:after="0" w:line="240" w:lineRule="auto"/>
        <w:keepLines w:val="1"/>
        <w:widowControl w:val="1"/>
      </w:pPr>
    </w:p>
    <w:tbl>
      <w:tblPr>
        <w:tblW w:type="auto" w:w="0"/>
        <w:jc w:val="center"/>
        <w:tblLayout w:type="autofit"/>
        <w:tblLook w:firstColumn="1" w:firstRow="1" w:lastColumn="0" w:lastRow="0" w:noHBand="0" w:noVBand="1" w:val="04A0"/>
      </w:tblPr>
      <w:tblGrid>
        <w:gridCol w:w="9576"/>
      </w:tblGrid>
      <w:tr>
        <w:trPr>
          <w:cantSplit/>
        </w:trPr>
        <w:tc>
          <w:tcPr>
            <w:tcW w:type="dxa" w:w="9576"/>
            <w:shd w:fill="FDECEC"/>
            <w:tcMar>
              <w:top w:w="115" w:type="dxa"/>
              <w:start w:w="140" w:type="dxa"/>
              <w:bottom w:w="115" w:type="dxa"/>
              <w:end w:w="140" w:type="dxa"/>
            </w:tcMar>
          </w:tcPr>
          <w:p>
            <w:pPr>
              <w:spacing w:before="0" w:after="40" w:line="252" w:lineRule="auto"/>
              <w:keepLines w:val="1"/>
              <w:widowControl w:val="1"/>
            </w:pPr>
            <w:r>
              <w:rPr>
                <w:rFonts w:ascii="Arial" w:hAnsi="Arial" w:eastAsia="Arial"/>
                <w:b/>
                <w:color w:val="A61B1B"/>
                <w:sz w:val="19"/>
              </w:rPr>
              <w:t>REGLA DE PARADA</w:t>
            </w:r>
          </w:p>
          <w:p>
            <w:pPr>
              <w:spacing w:before="0" w:after="0" w:line="259" w:lineRule="auto"/>
              <w:keepLines w:val="1"/>
              <w:widowControl w:val="1"/>
            </w:pPr>
            <w:r>
              <w:rPr>
                <w:rFonts w:ascii="Arial" w:hAnsi="Arial" w:eastAsia="Arial"/>
                <w:color w:val="1F2937"/>
                <w:sz w:val="19"/>
              </w:rPr>
              <w:t>Si falla G1, G2, G3, G5, G6, G7, G8, G9 o G10, no se produce demanda final. Si falla G4 o G11, se corrige antes de radicar. Nunca se disfraza una pretensión declarativa como ejecutiva ni se usa una cautela para suplir la falta de título.</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9. AUDITORÍA DEL PAGARÉ Y DEL TÍTULO EJECUTIVO</w:t>
      </w:r>
    </w:p>
    <w:p>
      <w:pPr>
        <w:pStyle w:val="ListBullet"/>
        <w:spacing w:after="52" w:line="259" w:lineRule="auto"/>
        <w:ind w:left="312" w:hanging="142"/>
        <w:keepLines w:val="1"/>
        <w:widowControl w:val="1"/>
      </w:pPr>
      <w:r>
        <w:rPr>
          <w:rFonts w:ascii="Arial" w:hAnsi="Arial" w:eastAsia="Arial"/>
          <w:color w:val="1F2937"/>
          <w:sz w:val="19"/>
        </w:rPr>
        <w:t>Inspeccionar visualmente todas las páginas, anverso y reverso; el OCR no sustituye la lectura jurídica.</w:t>
      </w:r>
    </w:p>
    <w:p>
      <w:pPr>
        <w:pStyle w:val="ListBullet"/>
        <w:spacing w:after="52" w:line="259" w:lineRule="auto"/>
        <w:ind w:left="312" w:hanging="142"/>
        <w:keepLines w:val="1"/>
        <w:widowControl w:val="1"/>
      </w:pPr>
      <w:r>
        <w:rPr>
          <w:rFonts w:ascii="Arial" w:hAnsi="Arial" w:eastAsia="Arial"/>
          <w:color w:val="1F2937"/>
          <w:sz w:val="19"/>
        </w:rPr>
        <w:t>Identificar quién firmó y en qué calidad: otorgante, deudor solidario, avalista, representante u otra.</w:t>
      </w:r>
    </w:p>
    <w:p>
      <w:pPr>
        <w:pStyle w:val="ListBullet"/>
        <w:spacing w:after="52" w:line="259" w:lineRule="auto"/>
        <w:ind w:left="312" w:hanging="142"/>
        <w:keepLines w:val="1"/>
        <w:widowControl w:val="1"/>
      </w:pPr>
      <w:r>
        <w:rPr>
          <w:rFonts w:ascii="Arial" w:hAnsi="Arial" w:eastAsia="Arial"/>
          <w:color w:val="1F2937"/>
          <w:sz w:val="19"/>
        </w:rPr>
        <w:t>Verificar requisitos generales del título valor y requisitos especiales del pagaré; no confundir negocio causal con derecho incorporado.</w:t>
      </w:r>
    </w:p>
    <w:p>
      <w:pPr>
        <w:pStyle w:val="ListBullet"/>
        <w:spacing w:after="52" w:line="259" w:lineRule="auto"/>
        <w:ind w:left="312" w:hanging="142"/>
        <w:keepLines w:val="1"/>
        <w:widowControl w:val="1"/>
      </w:pPr>
      <w:r>
        <w:rPr>
          <w:rFonts w:ascii="Arial" w:hAnsi="Arial" w:eastAsia="Arial"/>
          <w:color w:val="1F2937"/>
          <w:sz w:val="19"/>
        </w:rPr>
        <w:t>Si hubo espacios en blanco, comparar cada campo diligenciado con las instrucciones: monto, vencimiento, beneficiario, lugar, tasa y evento habilitante.</w:t>
      </w:r>
    </w:p>
    <w:p>
      <w:pPr>
        <w:pStyle w:val="ListBullet"/>
        <w:spacing w:after="52" w:line="259" w:lineRule="auto"/>
        <w:ind w:left="312" w:hanging="142"/>
        <w:keepLines w:val="1"/>
        <w:widowControl w:val="1"/>
      </w:pPr>
      <w:r>
        <w:rPr>
          <w:rFonts w:ascii="Arial" w:hAnsi="Arial" w:eastAsia="Arial"/>
          <w:color w:val="1F2937"/>
          <w:sz w:val="19"/>
        </w:rPr>
        <w:t>Detectar tachones, enmendaduras, diferencias tipográficas, montos imposibles, fechas contradictorias o firmas incompletas.</w:t>
      </w:r>
    </w:p>
    <w:p>
      <w:pPr>
        <w:pStyle w:val="ListBullet"/>
        <w:spacing w:after="52" w:line="259" w:lineRule="auto"/>
        <w:ind w:left="312" w:hanging="142"/>
        <w:keepLines w:val="1"/>
        <w:widowControl w:val="1"/>
      </w:pPr>
      <w:r>
        <w:rPr>
          <w:rFonts w:ascii="Arial" w:hAnsi="Arial" w:eastAsia="Arial"/>
          <w:color w:val="1F2937"/>
          <w:sz w:val="19"/>
        </w:rPr>
        <w:t>Verificar circulación, endosos, cesiones, pagos, subrogaciones, novaciones, reestructuraciones y tenedor legítimo actual.</w:t>
      </w:r>
    </w:p>
    <w:p>
      <w:pPr>
        <w:pStyle w:val="ListBullet"/>
        <w:spacing w:after="52" w:line="259" w:lineRule="auto"/>
        <w:ind w:left="312" w:hanging="142"/>
        <w:keepLines w:val="1"/>
        <w:widowControl w:val="1"/>
      </w:pPr>
      <w:r>
        <w:rPr>
          <w:rFonts w:ascii="Arial" w:hAnsi="Arial" w:eastAsia="Arial"/>
          <w:color w:val="1F2937"/>
          <w:sz w:val="19"/>
        </w:rPr>
        <w:t>Confirmar la existencia, custodia y no circulación del original mediante certificación del tenedor; no afirmar esos hechos por rutina.</w:t>
      </w:r>
    </w:p>
    <w:p>
      <w:pPr>
        <w:pStyle w:val="ListBullet"/>
        <w:spacing w:after="52" w:line="259" w:lineRule="auto"/>
        <w:ind w:left="312" w:hanging="142"/>
        <w:keepLines w:val="1"/>
        <w:widowControl w:val="1"/>
      </w:pPr>
      <w:r>
        <w:rPr>
          <w:rFonts w:ascii="Arial" w:hAnsi="Arial" w:eastAsia="Arial"/>
          <w:color w:val="1F2937"/>
          <w:sz w:val="19"/>
        </w:rPr>
        <w:t>Si el título es electrónico, revisar integridad, firma, atribución, trazabilidad, conservación, circulación y exhibición en su sistema de origen.</w:t>
      </w:r>
    </w:p>
    <w:tbl>
      <w:tblPr>
        <w:tblStyle w:val="TableGrid"/>
        <w:tblW w:type="auto" w:w="0"/>
        <w:jc w:val="center"/>
        <w:tblLayout w:type="autofit"/>
        <w:tblLook w:firstColumn="1" w:firstRow="1" w:lastColumn="0" w:lastRow="0" w:noHBand="0" w:noVBand="1" w:val="04A0"/>
      </w:tblPr>
      <w:tblGrid>
        <w:gridCol w:w="1596"/>
        <w:gridCol w:w="1596"/>
        <w:gridCol w:w="1596"/>
        <w:gridCol w:w="1596"/>
        <w:gridCol w:w="1596"/>
        <w:gridCol w:w="1596"/>
      </w:tblGrid>
      <w:tr>
        <w:trPr>
          <w:tblHeader w:val="true"/>
          <w:cantSplit/>
        </w:trPr>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Elemento</w:t>
            </w:r>
          </w:p>
        </w:tc>
        <w:tc>
          <w:tcPr>
            <w:tcW w:type="dxa" w:w="136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Pagaré</w:t>
            </w:r>
          </w:p>
        </w:tc>
        <w:tc>
          <w:tcPr>
            <w:tcW w:type="dxa" w:w="175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Carta / instrucciones</w:t>
            </w:r>
          </w:p>
        </w:tc>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Contrato / crédito</w:t>
            </w:r>
          </w:p>
        </w:tc>
        <w:tc>
          <w:tcPr>
            <w:tcW w:type="dxa" w:w="141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Contabilidad</w:t>
            </w:r>
          </w:p>
        </w:tc>
        <w:tc>
          <w:tcPr>
            <w:tcW w:type="dxa" w:w="113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Resultado</w:t>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Número y obligación</w:t>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5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Deudor(es) y calidad</w:t>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5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41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13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Capital</w:t>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5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Tasa</w:t>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5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41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13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Vencimiento</w:t>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5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Aceleración</w:t>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5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41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13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Lugar de pago</w:t>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5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Firma / representación</w:t>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5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41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13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10. EXIGIBILIDAD, ACELERACIÓN Y PRESCRIPCIÓN</w:t>
      </w:r>
    </w:p>
    <w:p>
      <w:pPr>
        <w:pStyle w:val="ListBullet"/>
        <w:spacing w:after="52" w:line="259" w:lineRule="auto"/>
        <w:ind w:left="312" w:hanging="142"/>
        <w:keepLines w:val="1"/>
        <w:widowControl w:val="1"/>
      </w:pPr>
      <w:r>
        <w:rPr>
          <w:rFonts w:ascii="Arial" w:hAnsi="Arial" w:eastAsia="Arial"/>
          <w:color w:val="1F2937"/>
          <w:sz w:val="19"/>
        </w:rPr>
        <w:t>Fijar una sola fecha de vencimiento o de uso de la cláusula aceleratoria y hacerla coincidir en título, hechos, pretensiones y liquidación.</w:t>
      </w:r>
    </w:p>
    <w:p>
      <w:pPr>
        <w:pStyle w:val="ListBullet"/>
        <w:spacing w:after="52" w:line="259" w:lineRule="auto"/>
        <w:ind w:left="312" w:hanging="142"/>
        <w:keepLines w:val="1"/>
        <w:widowControl w:val="1"/>
      </w:pPr>
      <w:r>
        <w:rPr>
          <w:rFonts w:ascii="Arial" w:hAnsi="Arial" w:eastAsia="Arial"/>
          <w:color w:val="1F2937"/>
          <w:sz w:val="19"/>
        </w:rPr>
        <w:t>La aceleración no se presume. Verificar evento habilitante, tenor de la cláusula, forma de ejercicio y fecha exacta. Si exige comunicación o actuación previa, debe acreditarse.</w:t>
      </w:r>
    </w:p>
    <w:p>
      <w:pPr>
        <w:pStyle w:val="ListBullet"/>
        <w:spacing w:after="52" w:line="259" w:lineRule="auto"/>
        <w:ind w:left="312" w:hanging="142"/>
        <w:keepLines w:val="1"/>
        <w:widowControl w:val="1"/>
      </w:pPr>
      <w:r>
        <w:rPr>
          <w:rFonts w:ascii="Arial" w:hAnsi="Arial" w:eastAsia="Arial"/>
          <w:color w:val="1F2937"/>
          <w:sz w:val="19"/>
        </w:rPr>
        <w:t>No confundir la excepción al envío previo de la Ley 2213 con la constitución sustantiva en mora. El artículo 423 del CGP puede producir efectos desde la notificación del mandamiento, pero no elimina condiciones expresas del título o contrato.</w:t>
      </w:r>
    </w:p>
    <w:p>
      <w:pPr>
        <w:pStyle w:val="ListBullet"/>
        <w:spacing w:after="52" w:line="259" w:lineRule="auto"/>
        <w:ind w:left="312" w:hanging="142"/>
        <w:keepLines w:val="1"/>
        <w:widowControl w:val="1"/>
      </w:pPr>
      <w:r>
        <w:rPr>
          <w:rFonts w:ascii="Arial" w:hAnsi="Arial" w:eastAsia="Arial"/>
          <w:color w:val="1F2937"/>
          <w:sz w:val="19"/>
        </w:rPr>
        <w:t>Para la acción cambiaria directa del pagaré, controlar el término especial de tres años contado desde el vencimiento. No aplicar automáticamente el término general de cinco años de la acción ejecutiva.</w:t>
      </w:r>
    </w:p>
    <w:p>
      <w:pPr>
        <w:pStyle w:val="ListBullet"/>
        <w:spacing w:after="52" w:line="259" w:lineRule="auto"/>
        <w:ind w:left="312" w:hanging="142"/>
        <w:keepLines w:val="1"/>
        <w:widowControl w:val="1"/>
      </w:pPr>
      <w:r>
        <w:rPr>
          <w:rFonts w:ascii="Arial" w:hAnsi="Arial" w:eastAsia="Arial"/>
          <w:color w:val="1F2937"/>
          <w:sz w:val="19"/>
        </w:rPr>
        <w:t>Analizar por separado la prescripción respecto de cada obligado, endosante, avalista o codeudor y los efectos de reconocimiento, pago o interrupción.</w:t>
      </w:r>
    </w:p>
    <w:p>
      <w:pPr>
        <w:pStyle w:val="ListBullet"/>
        <w:spacing w:after="52" w:line="259" w:lineRule="auto"/>
        <w:ind w:left="312" w:hanging="142"/>
        <w:keepLines w:val="1"/>
        <w:widowControl w:val="1"/>
      </w:pPr>
      <w:r>
        <w:rPr>
          <w:rFonts w:ascii="Arial" w:hAnsi="Arial" w:eastAsia="Arial"/>
          <w:color w:val="1F2937"/>
          <w:sz w:val="19"/>
        </w:rPr>
        <w:t>Registrar la fecha límite interna de presentación y un margen suficiente para que la notificación produzca los efectos del artículo 94 del CGP.</w:t>
      </w:r>
    </w:p>
    <w:p>
      <w:pPr>
        <w:pStyle w:val="ListBullet"/>
        <w:spacing w:after="52" w:line="259" w:lineRule="auto"/>
        <w:ind w:left="312" w:hanging="142"/>
        <w:keepLines w:val="1"/>
        <w:widowControl w:val="1"/>
      </w:pPr>
      <w:r>
        <w:rPr>
          <w:rFonts w:ascii="Arial" w:hAnsi="Arial" w:eastAsia="Arial"/>
          <w:color w:val="1F2937"/>
          <w:sz w:val="19"/>
        </w:rPr>
        <w:t>Después de la radicación, controlar el año siguiente a la notificación del mandamiento a la demandante y los eventos de desistimiento tácito; las cautelas no justifican inactividad indefinida.</w:t>
      </w:r>
    </w:p>
    <w:p>
      <w:pPr>
        <w:pageBreakBefore/>
        <w:spacing w:before="140" w:after="60" w:line="240" w:lineRule="auto"/>
      </w:pPr>
      <w:r>
        <w:rPr>
          <w:rFonts w:ascii="Arial" w:hAnsi="Arial"/>
          <w:b w:val="0"/>
          <w:color w:val="17365D"/>
          <w:sz w:val="2"/>
        </w:rPr>
      </w:r>
    </w:p>
    <w:tbl>
      <w:tblPr>
        <w:tblStyle w:val="TableGrid"/>
        <w:tblW w:type="auto" w:w="0"/>
        <w:jc w:val="center"/>
        <w:tblLayout w:type="autofit"/>
        <w:tblLook w:firstColumn="1" w:firstRow="1" w:lastColumn="0" w:lastRow="0" w:noHBand="0" w:noVBand="1" w:val="04A0"/>
      </w:tblPr>
      <w:tblGrid>
        <w:gridCol w:w="2394"/>
        <w:gridCol w:w="2394"/>
        <w:gridCol w:w="2394"/>
        <w:gridCol w:w="2394"/>
      </w:tblGrid>
      <w:tr>
        <w:trPr>
          <w:tblHeader w:val="true"/>
          <w:cantSplit/>
        </w:trPr>
        <w:tc>
          <w:tcPr>
            <w:tcW w:type="dxa" w:w="238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Hito</w:t>
            </w:r>
          </w:p>
        </w:tc>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Fecha</w:t>
            </w:r>
          </w:p>
        </w:tc>
        <w:tc>
          <w:tcPr>
            <w:tcW w:type="dxa" w:w="2948"/>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Soporte</w:t>
            </w:r>
          </w:p>
        </w:tc>
        <w:tc>
          <w:tcPr>
            <w:tcW w:type="dxa" w:w="2268"/>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Consecuencia</w:t>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Suscripción</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Desembolso</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Incumplimiento</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Uso de aceleración</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Vencimiento del pagaré</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Inicio de mora</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Interrupción / reconocimiento</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Límite de acción cambiaria</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Mandamiento notificado al actor</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r>
      <w:tr>
        <w:trPr>
          <w:cantSplit/>
        </w:trPr>
        <w:tc>
          <w:tcPr>
            <w:tcW w:type="dxa" w:w="238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Fecha máxima de servicio con efecto retroactivo</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94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11. AUDITORÍA CONTABLE, INTERESES Y CUANTÍA</w:t>
      </w:r>
    </w:p>
    <w:p>
      <w:pPr>
        <w:pStyle w:val="ListBullet"/>
        <w:spacing w:after="52" w:line="259" w:lineRule="auto"/>
        <w:ind w:left="312" w:hanging="142"/>
        <w:keepLines w:val="1"/>
        <w:widowControl w:val="1"/>
      </w:pPr>
      <w:r>
        <w:rPr>
          <w:rFonts w:ascii="Arial" w:hAnsi="Arial" w:eastAsia="Arial"/>
          <w:color w:val="1F2937"/>
          <w:sz w:val="19"/>
        </w:rPr>
        <w:t>Reconciliar desde el desembolso: capital inicial, capital amortizado, capital insoluto, pagos, intereses de plazo, mora, seguros, costos y cualquier ajuste.</w:t>
      </w:r>
    </w:p>
    <w:p>
      <w:pPr>
        <w:pStyle w:val="ListBullet"/>
        <w:spacing w:after="52" w:line="259" w:lineRule="auto"/>
        <w:ind w:left="312" w:hanging="142"/>
        <w:keepLines w:val="1"/>
        <w:widowControl w:val="1"/>
      </w:pPr>
      <w:r>
        <w:rPr>
          <w:rFonts w:ascii="Arial" w:hAnsi="Arial" w:eastAsia="Arial"/>
          <w:color w:val="1F2937"/>
          <w:sz w:val="19"/>
        </w:rPr>
        <w:t>Aplicar cada pago en su fecha y con la regla de imputación contractual y legal pertinente; conservar comprobante y memoria.</w:t>
      </w:r>
    </w:p>
    <w:p>
      <w:pPr>
        <w:pStyle w:val="ListBullet"/>
        <w:spacing w:after="52" w:line="259" w:lineRule="auto"/>
        <w:ind w:left="312" w:hanging="142"/>
        <w:keepLines w:val="1"/>
        <w:widowControl w:val="1"/>
      </w:pPr>
      <w:r>
        <w:rPr>
          <w:rFonts w:ascii="Arial" w:hAnsi="Arial" w:eastAsia="Arial"/>
          <w:color w:val="1F2937"/>
          <w:sz w:val="19"/>
        </w:rPr>
        <w:t>Separar intereses remuneratorios causados durante el plazo e intereses moratorios desde la exigibilidad. No superponer períodos ni cobrar intereses sobre intereses sin habilitación legal.</w:t>
      </w:r>
    </w:p>
    <w:p>
      <w:pPr>
        <w:pStyle w:val="ListBullet"/>
        <w:spacing w:after="52" w:line="259" w:lineRule="auto"/>
        <w:ind w:left="312" w:hanging="142"/>
        <w:keepLines w:val="1"/>
        <w:widowControl w:val="1"/>
      </w:pPr>
      <w:r>
        <w:rPr>
          <w:rFonts w:ascii="Arial" w:hAnsi="Arial" w:eastAsia="Arial"/>
          <w:color w:val="1F2937"/>
          <w:sz w:val="19"/>
        </w:rPr>
        <w:t>Precisar base, período y modalidad de crédito. Usar la certificación oficial de la Superintendencia Financiera correspondiente a cada período, no una tasa vigente distinta ni una única tasa retroactiva.</w:t>
      </w:r>
    </w:p>
    <w:p>
      <w:pPr>
        <w:pStyle w:val="ListBullet"/>
        <w:spacing w:after="52" w:line="259" w:lineRule="auto"/>
        <w:ind w:left="312" w:hanging="142"/>
        <w:keepLines w:val="1"/>
        <w:widowControl w:val="1"/>
      </w:pPr>
      <w:r>
        <w:rPr>
          <w:rFonts w:ascii="Arial" w:hAnsi="Arial" w:eastAsia="Arial"/>
          <w:color w:val="1F2937"/>
          <w:sz w:val="19"/>
        </w:rPr>
        <w:t>Controlar el límite del artículo 884 del Código de Comercio, el tope de usura aplicable y la sanción por exceso.</w:t>
      </w:r>
    </w:p>
    <w:p>
      <w:pPr>
        <w:pStyle w:val="ListBullet"/>
        <w:spacing w:after="52" w:line="259" w:lineRule="auto"/>
        <w:ind w:left="312" w:hanging="142"/>
        <w:keepLines w:val="1"/>
        <w:widowControl w:val="1"/>
      </w:pPr>
      <w:r>
        <w:rPr>
          <w:rFonts w:ascii="Arial" w:hAnsi="Arial" w:eastAsia="Arial"/>
          <w:color w:val="1F2937"/>
          <w:sz w:val="19"/>
        </w:rPr>
        <w:t>Convertir tasas nominales, periódicas y efectivas con fórmula explícita; conservar decimales y redondeo.</w:t>
      </w:r>
    </w:p>
    <w:p>
      <w:pPr>
        <w:pStyle w:val="ListBullet"/>
        <w:spacing w:after="52" w:line="259" w:lineRule="auto"/>
        <w:ind w:left="312" w:hanging="142"/>
        <w:keepLines w:val="1"/>
        <w:widowControl w:val="1"/>
      </w:pPr>
      <w:r>
        <w:rPr>
          <w:rFonts w:ascii="Arial" w:hAnsi="Arial" w:eastAsia="Arial"/>
          <w:color w:val="1F2937"/>
          <w:sz w:val="19"/>
        </w:rPr>
        <w:t>La cifra en letras debe coincidir con la numérica. La demanda, la cautelar, la liquidación y la certificación contable deben arrojar el mismo capital.</w:t>
      </w:r>
    </w:p>
    <w:p>
      <w:pPr>
        <w:pStyle w:val="ListBullet"/>
        <w:spacing w:after="52" w:line="259" w:lineRule="auto"/>
        <w:ind w:left="312" w:hanging="142"/>
        <w:keepLines w:val="1"/>
        <w:widowControl w:val="1"/>
      </w:pPr>
      <w:r>
        <w:rPr>
          <w:rFonts w:ascii="Arial" w:hAnsi="Arial" w:eastAsia="Arial"/>
          <w:color w:val="1F2937"/>
          <w:sz w:val="19"/>
        </w:rPr>
        <w:t>La cuantía procesal se fija con las pretensiones al presentar la demanda y sin accesorios futuros cuando la ley no los computa. La categoría se determina con el SMLMV vigente ese día.</w:t>
      </w:r>
    </w:p>
    <w:p>
      <w:pPr>
        <w:pStyle w:val="ListBullet"/>
        <w:spacing w:after="52" w:line="259" w:lineRule="auto"/>
        <w:ind w:left="312" w:hanging="142"/>
        <w:keepLines w:val="1"/>
        <w:widowControl w:val="1"/>
      </w:pPr>
      <w:r>
        <w:rPr>
          <w:rFonts w:ascii="Arial" w:hAnsi="Arial" w:eastAsia="Arial"/>
          <w:color w:val="1F2937"/>
          <w:sz w:val="19"/>
        </w:rPr>
        <w:t>Solicitar confirmación contable de pagos, acuerdos o abonos inmediatamente antes de radicar.</w:t>
      </w:r>
    </w:p>
    <w:tbl>
      <w:tblPr>
        <w:tblStyle w:val="TableGrid"/>
        <w:tblW w:type="auto" w:w="0"/>
        <w:jc w:val="center"/>
        <w:tblLayout w:type="autofit"/>
        <w:tblLook w:firstColumn="1" w:firstRow="1" w:lastColumn="0" w:lastRow="0" w:noHBand="0" w:noVBand="1" w:val="04A0"/>
      </w:tblPr>
      <w:tblGrid>
        <w:gridCol w:w="1596"/>
        <w:gridCol w:w="1596"/>
        <w:gridCol w:w="1596"/>
        <w:gridCol w:w="1596"/>
        <w:gridCol w:w="1596"/>
        <w:gridCol w:w="1596"/>
      </w:tblGrid>
      <w:tr>
        <w:trPr>
          <w:tblHeader w:val="true"/>
          <w:cantSplit/>
        </w:trPr>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Concepto</w:t>
            </w:r>
          </w:p>
        </w:tc>
        <w:tc>
          <w:tcPr>
            <w:tcW w:type="dxa" w:w="141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Período</w:t>
            </w:r>
          </w:p>
        </w:tc>
        <w:tc>
          <w:tcPr>
            <w:tcW w:type="dxa" w:w="136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Base</w:t>
            </w:r>
          </w:p>
        </w:tc>
        <w:tc>
          <w:tcPr>
            <w:tcW w:type="dxa" w:w="1928"/>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Tasa / fuente</w:t>
            </w:r>
          </w:p>
        </w:tc>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Fórmula</w:t>
            </w:r>
          </w:p>
        </w:tc>
        <w:tc>
          <w:tcPr>
            <w:tcW w:type="dxa" w:w="136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Valor</w:t>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Capital insoluto</w:t>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Corte</w:t>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2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Estado de cuenta</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Interés remuneratorio</w:t>
            </w:r>
          </w:p>
        </w:tc>
        <w:tc>
          <w:tcPr>
            <w:tcW w:type="dxa" w:w="141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Desde / hasta</w:t>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2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Interés moratorio causado</w:t>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Desde / hasta</w:t>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2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Abonos posteriores</w:t>
            </w:r>
          </w:p>
        </w:tc>
        <w:tc>
          <w:tcPr>
            <w:tcW w:type="dxa" w:w="141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Fecha</w:t>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2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Comprobante</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Total al presentar</w:t>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Fecha</w:t>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2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Límite cautelar global</w:t>
            </w:r>
          </w:p>
        </w:tc>
        <w:tc>
          <w:tcPr>
            <w:tcW w:type="dxa" w:w="141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Fecha</w:t>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92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CGP art. 599</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36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Límite depósitos</w:t>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Fecha</w:t>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92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CGP art. 593.10</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36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12. PERSONERÍA, PODER Y FIRMANTE</w:t>
      </w:r>
    </w:p>
    <w:p>
      <w:pPr>
        <w:pStyle w:val="ListBullet"/>
        <w:spacing w:after="52" w:line="259" w:lineRule="auto"/>
        <w:ind w:left="312" w:hanging="142"/>
        <w:keepLines w:val="1"/>
        <w:widowControl w:val="1"/>
      </w:pPr>
      <w:r>
        <w:rPr>
          <w:rFonts w:ascii="Arial" w:hAnsi="Arial" w:eastAsia="Arial"/>
          <w:color w:val="1F2937"/>
          <w:sz w:val="19"/>
        </w:rPr>
        <w:t>Verificar certificado vigente de CREARCOOP y facultad del representante que confiere el poder.</w:t>
      </w:r>
    </w:p>
    <w:p>
      <w:pPr>
        <w:pStyle w:val="ListBullet"/>
        <w:spacing w:after="52" w:line="259" w:lineRule="auto"/>
        <w:ind w:left="312" w:hanging="142"/>
        <w:keepLines w:val="1"/>
        <w:widowControl w:val="1"/>
      </w:pPr>
      <w:r>
        <w:rPr>
          <w:rFonts w:ascii="Arial" w:hAnsi="Arial" w:eastAsia="Arial"/>
          <w:color w:val="1F2937"/>
          <w:sz w:val="19"/>
        </w:rPr>
        <w:t>Si el poder se confiere por mensaje de datos, conservar mensaje original, remitente, destinatario, fecha, asunto, adjuntos y metadatos disponibles.</w:t>
      </w:r>
    </w:p>
    <w:p>
      <w:pPr>
        <w:pStyle w:val="ListBullet"/>
        <w:spacing w:after="52" w:line="259" w:lineRule="auto"/>
        <w:ind w:left="312" w:hanging="142"/>
        <w:keepLines w:val="1"/>
        <w:widowControl w:val="1"/>
      </w:pPr>
      <w:r>
        <w:rPr>
          <w:rFonts w:ascii="Arial" w:hAnsi="Arial" w:eastAsia="Arial"/>
          <w:color w:val="1F2937"/>
          <w:sz w:val="19"/>
        </w:rPr>
        <w:t>Cuando el otorgante está inscrito en el registro mercantil, el mensaje debe salir del correo inscrito para notificaciones judiciales.</w:t>
      </w:r>
    </w:p>
    <w:p>
      <w:pPr>
        <w:pStyle w:val="ListBullet"/>
        <w:spacing w:after="52" w:line="259" w:lineRule="auto"/>
        <w:ind w:left="312" w:hanging="142"/>
        <w:keepLines w:val="1"/>
        <w:widowControl w:val="1"/>
      </w:pPr>
      <w:r>
        <w:rPr>
          <w:rFonts w:ascii="Arial" w:hAnsi="Arial" w:eastAsia="Arial"/>
          <w:color w:val="1F2937"/>
          <w:sz w:val="19"/>
        </w:rPr>
        <w:t>El correo del abogado indicado en el poder debe coincidir con el registrado en el Registro Nacional de Abogados.</w:t>
      </w:r>
    </w:p>
    <w:p>
      <w:pPr>
        <w:pStyle w:val="ListBullet"/>
        <w:spacing w:after="52" w:line="259" w:lineRule="auto"/>
        <w:ind w:left="312" w:hanging="142"/>
        <w:keepLines w:val="1"/>
        <w:widowControl w:val="1"/>
      </w:pPr>
      <w:r>
        <w:rPr>
          <w:rFonts w:ascii="Arial" w:hAnsi="Arial" w:eastAsia="Arial"/>
          <w:color w:val="1F2937"/>
          <w:sz w:val="19"/>
        </w:rPr>
        <w:t>Si el poder se confiere a ABOGADOS EN COLOMBIA S.A.S., comprobar que su objeto principal sea la prestación de servicios jurídicos, su certificado esté vigente y el abogado actuante figure inscrito en él o exista otorgamiento/sustitución válida.</w:t>
      </w:r>
    </w:p>
    <w:p>
      <w:pPr>
        <w:pStyle w:val="ListBullet"/>
        <w:spacing w:after="52" w:line="259" w:lineRule="auto"/>
        <w:ind w:left="312" w:hanging="142"/>
        <w:keepLines w:val="1"/>
        <w:widowControl w:val="1"/>
      </w:pPr>
      <w:r>
        <w:rPr>
          <w:rFonts w:ascii="Arial" w:hAnsi="Arial" w:eastAsia="Arial"/>
          <w:color w:val="1F2937"/>
          <w:sz w:val="19"/>
        </w:rPr>
        <w:t>Solo puede actuar simultáneamente un apoderado judicial. Encabezado, poder, certificado y firma final deben describir la misma cadena jurídica.</w:t>
      </w:r>
    </w:p>
    <w:p>
      <w:pPr>
        <w:pStyle w:val="ListBullet"/>
        <w:spacing w:after="52" w:line="259" w:lineRule="auto"/>
        <w:ind w:left="312" w:hanging="142"/>
        <w:keepLines w:val="1"/>
        <w:widowControl w:val="1"/>
      </w:pPr>
      <w:r>
        <w:rPr>
          <w:rFonts w:ascii="Arial" w:hAnsi="Arial" w:eastAsia="Arial"/>
          <w:color w:val="1F2937"/>
          <w:sz w:val="19"/>
        </w:rPr>
        <w:t>No usar expresiones como “delegación interna”, “apoderada delegada” o “designación” si no corresponden a la figura documentada.</w:t>
      </w:r>
    </w:p>
    <w:p>
      <w:pPr>
        <w:pStyle w:val="ListBullet"/>
        <w:spacing w:after="52" w:line="259" w:lineRule="auto"/>
        <w:ind w:left="312" w:hanging="142"/>
        <w:keepLines w:val="1"/>
        <w:widowControl w:val="1"/>
      </w:pPr>
      <w:r>
        <w:rPr>
          <w:rFonts w:ascii="Arial" w:hAnsi="Arial" w:eastAsia="Arial"/>
          <w:color w:val="1F2937"/>
          <w:sz w:val="19"/>
        </w:rPr>
        <w:t>El formato v2.0 conserva su firmante homologado. Si cambia la persona que firma, se requiere homologación de nueva versión; no basta sustituir el nombre.</w:t>
      </w:r>
    </w:p>
    <w:p>
      <w:pPr>
        <w:pStyle w:val="ListBullet"/>
        <w:spacing w:after="52" w:line="259" w:lineRule="auto"/>
        <w:ind w:left="312" w:hanging="142"/>
        <w:keepLines w:val="1"/>
        <w:widowControl w:val="1"/>
      </w:pPr>
      <w:r>
        <w:rPr>
          <w:rFonts w:ascii="Arial" w:hAnsi="Arial" w:eastAsia="Arial"/>
          <w:color w:val="1F2937"/>
          <w:sz w:val="19"/>
        </w:rPr>
        <w:t>Eliminar el capítulo de dependientes si no existen personas concretamente autorizadas y facultades permitidas.</w:t>
      </w:r>
    </w:p>
    <w:tbl>
      <w:tblPr>
        <w:tblW w:type="auto" w:w="0"/>
        <w:jc w:val="center"/>
        <w:tblLayout w:type="autofit"/>
        <w:tblLook w:firstColumn="1" w:firstRow="1" w:lastColumn="0" w:lastRow="0" w:noHBand="0" w:noVBand="1" w:val="04A0"/>
      </w:tblPr>
      <w:tblGrid>
        <w:gridCol w:w="9576"/>
      </w:tblGrid>
      <w:tr>
        <w:trPr>
          <w:cantSplit/>
        </w:trPr>
        <w:tc>
          <w:tcPr>
            <w:tcW w:type="dxa" w:w="9576"/>
            <w:shd w:fill="FDECEC"/>
            <w:tcMar>
              <w:top w:w="115" w:type="dxa"/>
              <w:start w:w="140" w:type="dxa"/>
              <w:bottom w:w="115" w:type="dxa"/>
              <w:end w:w="140" w:type="dxa"/>
            </w:tcMar>
          </w:tcPr>
          <w:p>
            <w:pPr>
              <w:spacing w:before="0" w:after="40" w:line="252" w:lineRule="auto"/>
              <w:keepLines w:val="1"/>
              <w:widowControl w:val="1"/>
            </w:pPr>
            <w:r>
              <w:rPr>
                <w:rFonts w:ascii="Arial" w:hAnsi="Arial" w:eastAsia="Arial"/>
                <w:b/>
                <w:color w:val="A61B1B"/>
                <w:sz w:val="19"/>
              </w:rPr>
              <w:t>BLOQUEO CRÍTICO</w:t>
            </w:r>
          </w:p>
          <w:p>
            <w:pPr>
              <w:spacing w:before="0" w:after="0" w:line="259" w:lineRule="auto"/>
              <w:keepLines w:val="1"/>
              <w:widowControl w:val="1"/>
            </w:pPr>
            <w:r>
              <w:rPr>
                <w:rFonts w:ascii="Arial" w:hAnsi="Arial" w:eastAsia="Arial"/>
                <w:color w:val="1F2937"/>
                <w:sz w:val="19"/>
              </w:rPr>
              <w:t>La falta de coherencia entre sociedad apoderada, abogado inscrito, sustitución y firma final puede generar falta de personería. Ningún escrito se firma con una calidad distinta a la que muestran el poder y los certificados.</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13. COMPETENCIA, CUANTÍA Y ARBITRAJE EJECUTIVO</w:t>
      </w:r>
    </w:p>
    <w:p>
      <w:pPr>
        <w:spacing w:before="140" w:after="60" w:line="240" w:lineRule="auto"/>
        <w:keepLines w:val="1"/>
        <w:widowControl w:val="1"/>
        <w:keepNext w:val="1"/>
      </w:pPr>
      <w:r>
        <w:rPr>
          <w:rFonts w:ascii="Arial" w:hAnsi="Arial" w:eastAsia="Arial"/>
          <w:b/>
          <w:color w:val="17365D"/>
          <w:sz w:val="21"/>
        </w:rPr>
        <w:t>Competencia judicial</w:t>
      </w:r>
    </w:p>
    <w:p>
      <w:pPr>
        <w:pStyle w:val="ListBullet"/>
        <w:spacing w:after="52" w:line="259" w:lineRule="auto"/>
        <w:ind w:left="312" w:hanging="142"/>
        <w:keepLines w:val="1"/>
        <w:widowControl w:val="1"/>
      </w:pPr>
      <w:r>
        <w:rPr>
          <w:rFonts w:ascii="Arial" w:hAnsi="Arial" w:eastAsia="Arial"/>
          <w:color w:val="1F2937"/>
          <w:sz w:val="19"/>
        </w:rPr>
        <w:t>Definir jurisdicción, especialidad y factor objetivo antes de escoger el despacho.</w:t>
      </w:r>
    </w:p>
    <w:p>
      <w:pPr>
        <w:pStyle w:val="ListBullet"/>
        <w:spacing w:after="52" w:line="259" w:lineRule="auto"/>
        <w:ind w:left="312" w:hanging="142"/>
        <w:keepLines w:val="1"/>
        <w:widowControl w:val="1"/>
      </w:pPr>
      <w:r>
        <w:rPr>
          <w:rFonts w:ascii="Arial" w:hAnsi="Arial" w:eastAsia="Arial"/>
          <w:color w:val="1F2937"/>
          <w:sz w:val="19"/>
        </w:rPr>
        <w:t>Clasificar cuantía con el SMLMV vigente: mínima hasta 40 SMLMV; menor superior a 40 y hasta 150; mayor superior a 150.</w:t>
      </w:r>
    </w:p>
    <w:p>
      <w:pPr>
        <w:pStyle w:val="ListBullet"/>
        <w:spacing w:after="52" w:line="259" w:lineRule="auto"/>
        <w:ind w:left="312" w:hanging="142"/>
        <w:keepLines w:val="1"/>
        <w:widowControl w:val="1"/>
      </w:pPr>
      <w:r>
        <w:rPr>
          <w:rFonts w:ascii="Arial" w:hAnsi="Arial" w:eastAsia="Arial"/>
          <w:color w:val="1F2937"/>
          <w:sz w:val="19"/>
        </w:rPr>
        <w:t>Sustentar territorio con domicilio del demandado y/o lugar de cumplimiento. No confundir domicilio, residencia, dirección física y canal digital.</w:t>
      </w:r>
    </w:p>
    <w:p>
      <w:pPr>
        <w:pStyle w:val="ListBullet"/>
        <w:spacing w:after="52" w:line="259" w:lineRule="auto"/>
        <w:ind w:left="312" w:hanging="142"/>
        <w:keepLines w:val="1"/>
        <w:widowControl w:val="1"/>
      </w:pPr>
      <w:r>
        <w:rPr>
          <w:rFonts w:ascii="Arial" w:hAnsi="Arial" w:eastAsia="Arial"/>
          <w:color w:val="1F2937"/>
          <w:sz w:val="19"/>
        </w:rPr>
        <w:t>La estipulación de domicilio contractual para efectos judiciales se tiene por no escrita; no usarla como único fuero.</w:t>
      </w:r>
    </w:p>
    <w:p>
      <w:pPr>
        <w:pStyle w:val="ListBullet"/>
        <w:spacing w:after="52" w:line="259" w:lineRule="auto"/>
        <w:ind w:left="312" w:hanging="142"/>
        <w:keepLines w:val="1"/>
        <w:widowControl w:val="1"/>
      </w:pPr>
      <w:r>
        <w:rPr>
          <w:rFonts w:ascii="Arial" w:hAnsi="Arial" w:eastAsia="Arial"/>
          <w:color w:val="1F2937"/>
          <w:sz w:val="19"/>
        </w:rPr>
        <w:t>Verificar si en el municipio opera juez de pequeñas causas, civil municipal, promiscuo municipal o civil del circuito y el canal oficial de reparto.</w:t>
      </w:r>
    </w:p>
    <w:p>
      <w:pPr>
        <w:spacing w:before="140" w:after="60" w:line="240" w:lineRule="auto"/>
        <w:keepLines w:val="1"/>
        <w:widowControl w:val="1"/>
        <w:keepNext w:val="1"/>
      </w:pPr>
      <w:r>
        <w:rPr>
          <w:rFonts w:ascii="Arial" w:hAnsi="Arial" w:eastAsia="Arial"/>
          <w:b/>
          <w:color w:val="17365D"/>
          <w:sz w:val="21"/>
        </w:rPr>
        <w:t>Arbitraje ejecutivo – control previo obligatorio</w:t>
      </w:r>
    </w:p>
    <w:p>
      <w:pPr>
        <w:pStyle w:val="ListBullet"/>
        <w:spacing w:after="52" w:line="259" w:lineRule="auto"/>
        <w:ind w:left="312" w:hanging="142"/>
        <w:keepLines w:val="1"/>
        <w:widowControl w:val="1"/>
      </w:pPr>
      <w:r>
        <w:rPr>
          <w:rFonts w:ascii="Arial" w:hAnsi="Arial" w:eastAsia="Arial"/>
          <w:color w:val="1F2937"/>
          <w:sz w:val="19"/>
        </w:rPr>
        <w:t>Revisar el contrato, pagaré, solicitud, anexos, otrosíes y pactos separados en busca de pacto arbitral ejecutivo.</w:t>
      </w:r>
    </w:p>
    <w:p>
      <w:pPr>
        <w:pStyle w:val="ListBullet"/>
        <w:spacing w:after="52" w:line="259" w:lineRule="auto"/>
        <w:ind w:left="312" w:hanging="142"/>
        <w:keepLines w:val="1"/>
        <w:widowControl w:val="1"/>
      </w:pPr>
      <w:r>
        <w:rPr>
          <w:rFonts w:ascii="Arial" w:hAnsi="Arial" w:eastAsia="Arial"/>
          <w:color w:val="1F2937"/>
          <w:sz w:val="19"/>
        </w:rPr>
        <w:t>La Ley 2540 de 2025 rige seis meses después de su promulgación. El arbitraje ejecutivo es institucional y requiere pacto aplicable.</w:t>
      </w:r>
    </w:p>
    <w:p>
      <w:pPr>
        <w:pStyle w:val="ListBullet"/>
        <w:spacing w:after="52" w:line="259" w:lineRule="auto"/>
        <w:ind w:left="312" w:hanging="142"/>
        <w:keepLines w:val="1"/>
        <w:widowControl w:val="1"/>
      </w:pPr>
      <w:r>
        <w:rPr>
          <w:rFonts w:ascii="Arial" w:hAnsi="Arial" w:eastAsia="Arial"/>
          <w:color w:val="1F2937"/>
          <w:sz w:val="19"/>
        </w:rPr>
        <w:t>En títulos valores, el pacto no puede incorporarse en el mismo título invocado: debe constar en documento anexo o separado referido a él. Si el contrato mismo es título ejecutivo y contiene cláusula compromisoria, se analiza bajo esa ley.</w:t>
      </w:r>
    </w:p>
    <w:p>
      <w:pPr>
        <w:pStyle w:val="ListBullet"/>
        <w:spacing w:after="52" w:line="259" w:lineRule="auto"/>
        <w:ind w:left="312" w:hanging="142"/>
        <w:keepLines w:val="1"/>
        <w:widowControl w:val="1"/>
      </w:pPr>
      <w:r>
        <w:rPr>
          <w:rFonts w:ascii="Arial" w:hAnsi="Arial" w:eastAsia="Arial"/>
          <w:color w:val="1F2937"/>
          <w:sz w:val="19"/>
        </w:rPr>
        <w:t>En relaciones de consumo, verificar que la información sobre efectos, derechos, costos y alternativas se haya suministrado de forma clara y verificable; la inobservancia puede afectar la obligatoriedad del pacto.</w:t>
      </w:r>
    </w:p>
    <w:p>
      <w:pPr>
        <w:pStyle w:val="ListBullet"/>
        <w:spacing w:after="52" w:line="259" w:lineRule="auto"/>
        <w:ind w:left="312" w:hanging="142"/>
        <w:keepLines w:val="1"/>
        <w:widowControl w:val="1"/>
      </w:pPr>
      <w:r>
        <w:rPr>
          <w:rFonts w:ascii="Arial" w:hAnsi="Arial" w:eastAsia="Arial"/>
          <w:color w:val="1F2937"/>
          <w:sz w:val="19"/>
        </w:rPr>
        <w:t>Antes de elegir jurisdicción ordinaria o arbitral, confirmar en fuente oficial la vigencia, reglamentación, centro institucional disponible y alcance del pacto. No decidir por memoria ni por una cláusula genérica.</w:t>
      </w:r>
    </w:p>
    <w:p>
      <w:pPr>
        <w:spacing w:before="220" w:after="100" w:line="240" w:lineRule="auto"/>
        <w:keepLines w:val="1"/>
        <w:widowControl w:val="1"/>
        <w:pBdr>
          <w:bottom w:val="single" w:sz="8" w:space="3" w:color="C69A45"/>
        </w:pBdr>
        <w:keepNext w:val="1"/>
      </w:pPr>
      <w:r>
        <w:rPr>
          <w:rFonts w:ascii="Arial" w:hAnsi="Arial" w:eastAsia="Arial"/>
          <w:b/>
          <w:color w:val="17365D"/>
          <w:sz w:val="25"/>
        </w:rPr>
        <w:t>14. FILTRO DE INSOLVENCIA, FALLECIMIENTO Y PROCESOS PARALELOS</w:t>
      </w:r>
    </w:p>
    <w:p>
      <w:pPr>
        <w:pStyle w:val="ListBullet"/>
        <w:spacing w:after="52" w:line="259" w:lineRule="auto"/>
        <w:ind w:left="312" w:hanging="142"/>
        <w:keepLines w:val="1"/>
        <w:widowControl w:val="1"/>
      </w:pPr>
      <w:r>
        <w:rPr>
          <w:rFonts w:ascii="Arial" w:hAnsi="Arial" w:eastAsia="Arial"/>
          <w:color w:val="1F2937"/>
          <w:sz w:val="19"/>
        </w:rPr>
        <w:t>Verificar individualmente a cada obligado: persona natural no comerciante, pequeña comerciante, comerciante, persona jurídica, garante, avalista o codeudor.</w:t>
      </w:r>
    </w:p>
    <w:p>
      <w:pPr>
        <w:pStyle w:val="ListBullet"/>
        <w:spacing w:after="52" w:line="259" w:lineRule="auto"/>
        <w:ind w:left="312" w:hanging="142"/>
        <w:keepLines w:val="1"/>
        <w:widowControl w:val="1"/>
      </w:pPr>
      <w:r>
        <w:rPr>
          <w:rFonts w:ascii="Arial" w:hAnsi="Arial" w:eastAsia="Arial"/>
          <w:color w:val="1F2937"/>
          <w:sz w:val="19"/>
        </w:rPr>
        <w:t>Consultar y documentar negociación de deudas, convalidación, liquidación patrimonial, reorganización, liquidación judicial, sucesión, fallecimiento, disolución, acuerdos privados y procesos ejecutivos previos.</w:t>
      </w:r>
    </w:p>
    <w:p>
      <w:pPr>
        <w:pStyle w:val="ListBullet"/>
        <w:spacing w:after="52" w:line="259" w:lineRule="auto"/>
        <w:ind w:left="312" w:hanging="142"/>
        <w:keepLines w:val="1"/>
        <w:widowControl w:val="1"/>
      </w:pPr>
      <w:r>
        <w:rPr>
          <w:rFonts w:ascii="Arial" w:hAnsi="Arial" w:eastAsia="Arial"/>
          <w:color w:val="1F2937"/>
          <w:sz w:val="19"/>
        </w:rPr>
        <w:t>Registrar autoridad, radicado, fecha de aceptación/admisión, estado, personas cobijadas y medidas existentes.</w:t>
      </w:r>
    </w:p>
    <w:p>
      <w:pPr>
        <w:pStyle w:val="ListBullet"/>
        <w:spacing w:after="52" w:line="259" w:lineRule="auto"/>
        <w:ind w:left="312" w:hanging="142"/>
        <w:keepLines w:val="1"/>
        <w:widowControl w:val="1"/>
      </w:pPr>
      <w:r>
        <w:rPr>
          <w:rFonts w:ascii="Arial" w:hAnsi="Arial" w:eastAsia="Arial"/>
          <w:color w:val="1F2937"/>
          <w:sz w:val="19"/>
        </w:rPr>
        <w:t>Aplicar el régimen de insolvencia de persona natural modificado por la Ley 2445 de 2025, con la corrección formal del Decreto 1136 de 2025 y la reglamentación vigente que exista al día de la actuación.</w:t>
      </w:r>
    </w:p>
    <w:p>
      <w:pPr>
        <w:pStyle w:val="ListBullet"/>
        <w:spacing w:after="52" w:line="259" w:lineRule="auto"/>
        <w:ind w:left="312" w:hanging="142"/>
        <w:keepLines w:val="1"/>
        <w:widowControl w:val="1"/>
      </w:pPr>
      <w:r>
        <w:rPr>
          <w:rFonts w:ascii="Arial" w:hAnsi="Arial" w:eastAsia="Arial"/>
          <w:color w:val="1F2937"/>
          <w:sz w:val="19"/>
        </w:rPr>
        <w:t>En reorganización empresarial, no iniciar ni continuar ejecución contra el deudor cuando la ley lo prohíba; remitir o hacer valer el crédito en el concurso según corresponda.</w:t>
      </w:r>
    </w:p>
    <w:p>
      <w:pPr>
        <w:pStyle w:val="ListBullet"/>
        <w:spacing w:after="52" w:line="259" w:lineRule="auto"/>
        <w:ind w:left="312" w:hanging="142"/>
        <w:keepLines w:val="1"/>
        <w:widowControl w:val="1"/>
      </w:pPr>
      <w:r>
        <w:rPr>
          <w:rFonts w:ascii="Arial" w:hAnsi="Arial" w:eastAsia="Arial"/>
          <w:color w:val="1F2937"/>
          <w:sz w:val="19"/>
        </w:rPr>
        <w:t>Distinguir los efectos sobre el deudor principal de los efectos sobre avalistas, codeudores y garantes; no extenderlos automáticamente ni ignorarlos.</w:t>
      </w:r>
    </w:p>
    <w:p>
      <w:pPr>
        <w:pStyle w:val="ListBullet"/>
        <w:spacing w:after="52" w:line="259" w:lineRule="auto"/>
        <w:ind w:left="312" w:hanging="142"/>
        <w:keepLines w:val="1"/>
        <w:widowControl w:val="1"/>
      </w:pPr>
      <w:r>
        <w:rPr>
          <w:rFonts w:ascii="Arial" w:hAnsi="Arial" w:eastAsia="Arial"/>
          <w:color w:val="1F2937"/>
          <w:sz w:val="19"/>
        </w:rPr>
        <w:t>Si el obligado falleció, definir legitimación pasiva, sucesión, herederos determinados/indeterminados y limitar cautelas a bienes del causante cuando proceda.</w:t>
      </w:r>
    </w:p>
    <w:p>
      <w:pPr>
        <w:pStyle w:val="ListBullet"/>
        <w:spacing w:after="52" w:line="259" w:lineRule="auto"/>
        <w:ind w:left="312" w:hanging="142"/>
        <w:keepLines w:val="1"/>
        <w:widowControl w:val="1"/>
      </w:pPr>
      <w:r>
        <w:rPr>
          <w:rFonts w:ascii="Arial" w:hAnsi="Arial" w:eastAsia="Arial"/>
          <w:color w:val="1F2937"/>
          <w:sz w:val="19"/>
        </w:rPr>
        <w:t>Comprobar pagos, remanentes, embargos anteriores, acumulación y créditos reconocidos en concurso.</w:t>
      </w:r>
    </w:p>
    <w:tbl>
      <w:tblPr>
        <w:tblW w:type="auto" w:w="0"/>
        <w:jc w:val="center"/>
        <w:tblLayout w:type="autofit"/>
        <w:tblLook w:firstColumn="1" w:firstRow="1" w:lastColumn="0" w:lastRow="0" w:noHBand="0" w:noVBand="1" w:val="04A0"/>
      </w:tblPr>
      <w:tblGrid>
        <w:gridCol w:w="9576"/>
      </w:tblGrid>
      <w:tr>
        <w:trPr>
          <w:cantSplit/>
        </w:trPr>
        <w:tc>
          <w:tcPr>
            <w:tcW w:type="dxa" w:w="9576"/>
            <w:shd w:fill="F7F1E4"/>
            <w:tcMar>
              <w:top w:w="115" w:type="dxa"/>
              <w:start w:w="140" w:type="dxa"/>
              <w:bottom w:w="115" w:type="dxa"/>
              <w:end w:w="140" w:type="dxa"/>
            </w:tcMar>
          </w:tcPr>
          <w:p>
            <w:pPr>
              <w:spacing w:before="0" w:after="40" w:line="252" w:lineRule="auto"/>
              <w:keepLines w:val="1"/>
              <w:widowControl w:val="1"/>
            </w:pPr>
            <w:r>
              <w:rPr>
                <w:rFonts w:ascii="Arial" w:hAnsi="Arial" w:eastAsia="Arial"/>
                <w:b/>
                <w:color w:val="9A6700"/>
                <w:sz w:val="19"/>
              </w:rPr>
              <w:t>CONTROL DINÁMICO 2026</w:t>
            </w:r>
          </w:p>
          <w:p>
            <w:pPr>
              <w:spacing w:before="0" w:after="0" w:line="259" w:lineRule="auto"/>
              <w:keepLines w:val="1"/>
              <w:widowControl w:val="1"/>
            </w:pPr>
            <w:r>
              <w:rPr>
                <w:rFonts w:ascii="Arial" w:hAnsi="Arial" w:eastAsia="Arial"/>
                <w:color w:val="1F2937"/>
                <w:sz w:val="19"/>
              </w:rPr>
              <w:t>La reglamentación de la Ley 2445 y la implementación del arbitraje ejecutivo se encuentran en evolución. Deben verificarse nuevamente el mismo día de la radicación. El protocolo no congela un estado regulatorio.</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15. ESTÁNDAR DE DEMANDA: SENCILLA, COMPLETA Y EFICAZ</w:t>
      </w:r>
    </w:p>
    <w:p>
      <w:pPr>
        <w:spacing w:before="0" w:after="100" w:line="269" w:lineRule="auto"/>
        <w:keepLines w:val="1"/>
        <w:widowControl w:val="1"/>
      </w:pPr>
      <w:r>
        <w:rPr>
          <w:rFonts w:ascii="Arial" w:hAnsi="Arial" w:eastAsia="Arial"/>
          <w:i w:val="0"/>
          <w:color w:val="1F2937"/>
          <w:sz w:val="20"/>
        </w:rPr>
        <w:t>La demanda debe permitir al juez resolver sin buscar datos esenciales fuera del escrito. La concisión se logra eliminando repetición, no omitiendo requisitos.</w:t>
      </w:r>
    </w:p>
    <w:tbl>
      <w:tblPr>
        <w:tblStyle w:val="TableGrid"/>
        <w:tblW w:type="auto" w:w="0"/>
        <w:jc w:val="center"/>
        <w:tblLayout w:type="autofit"/>
        <w:tblLook w:firstColumn="1" w:firstRow="1" w:lastColumn="0" w:lastRow="0" w:noHBand="0" w:noVBand="1" w:val="04A0"/>
      </w:tblPr>
      <w:tblGrid>
        <w:gridCol w:w="4788"/>
        <w:gridCol w:w="4788"/>
      </w:tblGrid>
      <w:tr>
        <w:trPr>
          <w:tblHeader w:val="true"/>
          <w:cantSplit/>
        </w:trPr>
        <w:tc>
          <w:tcPr>
            <w:tcW w:type="dxa" w:w="204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Sección</w:t>
            </w:r>
          </w:p>
        </w:tc>
        <w:tc>
          <w:tcPr>
            <w:tcW w:type="dxa" w:w="7143"/>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Contenido máximo necesario</w:t>
            </w:r>
          </w:p>
        </w:tc>
      </w:tr>
      <w:tr>
        <w:trPr>
          <w:cantSplit/>
        </w:trPr>
        <w:tc>
          <w:tcPr>
            <w:tcW w:type="dxa" w:w="204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Encabezado</w:t>
            </w:r>
          </w:p>
        </w:tc>
        <w:tc>
          <w:tcPr>
            <w:tcW w:type="dxa" w:w="7143"/>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Despacho, ciudad, partes, título, obligación y clase de proceso.</w:t>
            </w:r>
          </w:p>
        </w:tc>
      </w:tr>
      <w:tr>
        <w:trPr>
          <w:cantSplit/>
        </w:trPr>
        <w:tc>
          <w:tcPr>
            <w:tcW w:type="dxa" w:w="204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Personería</w:t>
            </w:r>
          </w:p>
        </w:tc>
        <w:tc>
          <w:tcPr>
            <w:tcW w:type="dxa" w:w="7143"/>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Un párrafo con la cadena documentada y el firmante correcto.</w:t>
            </w:r>
          </w:p>
        </w:tc>
      </w:tr>
      <w:tr>
        <w:trPr>
          <w:cantSplit/>
        </w:trPr>
        <w:tc>
          <w:tcPr>
            <w:tcW w:type="dxa" w:w="204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Pretensiones</w:t>
            </w:r>
          </w:p>
        </w:tc>
        <w:tc>
          <w:tcPr>
            <w:tcW w:type="dxa" w:w="7143"/>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Capital; remuneratorios causados si proceden; moratorios; costas.</w:t>
            </w:r>
          </w:p>
        </w:tc>
      </w:tr>
      <w:tr>
        <w:trPr>
          <w:cantSplit/>
        </w:trPr>
        <w:tc>
          <w:tcPr>
            <w:tcW w:type="dxa" w:w="204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Hechos</w:t>
            </w:r>
          </w:p>
        </w:tc>
        <w:tc>
          <w:tcPr>
            <w:tcW w:type="dxa" w:w="7143"/>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Seis a ocho hechos cronológicos, una proposición verificable por numeral.</w:t>
            </w:r>
          </w:p>
        </w:tc>
      </w:tr>
      <w:tr>
        <w:trPr>
          <w:cantSplit/>
        </w:trPr>
        <w:tc>
          <w:tcPr>
            <w:tcW w:type="dxa" w:w="204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Fundamentos</w:t>
            </w:r>
          </w:p>
        </w:tc>
        <w:tc>
          <w:tcPr>
            <w:tcW w:type="dxa" w:w="7143"/>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Normas pertinentes y vigentes; sin transcripciones ni listas ornamentales.</w:t>
            </w:r>
          </w:p>
        </w:tc>
      </w:tr>
      <w:tr>
        <w:trPr>
          <w:cantSplit/>
        </w:trPr>
        <w:tc>
          <w:tcPr>
            <w:tcW w:type="dxa" w:w="204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Competencia / cuantía</w:t>
            </w:r>
          </w:p>
        </w:tc>
        <w:tc>
          <w:tcPr>
            <w:tcW w:type="dxa" w:w="7143"/>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Factor territorial, categoría y despacho; control arbitral.</w:t>
            </w:r>
          </w:p>
        </w:tc>
      </w:tr>
      <w:tr>
        <w:trPr>
          <w:cantSplit/>
        </w:trPr>
        <w:tc>
          <w:tcPr>
            <w:tcW w:type="dxa" w:w="204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Pruebas / anexos</w:t>
            </w:r>
          </w:p>
        </w:tc>
        <w:tc>
          <w:tcPr>
            <w:tcW w:type="dxa" w:w="7143"/>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Índice exacto de archivos realmente adjuntos.</w:t>
            </w:r>
          </w:p>
        </w:tc>
      </w:tr>
      <w:tr>
        <w:trPr>
          <w:cantSplit/>
        </w:trPr>
        <w:tc>
          <w:tcPr>
            <w:tcW w:type="dxa" w:w="204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Regla cautelar</w:t>
            </w:r>
          </w:p>
        </w:tc>
        <w:tc>
          <w:tcPr>
            <w:tcW w:type="dxa" w:w="7143"/>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Un párrafo sobre cautelas, conciliación y excepción al envío previo.</w:t>
            </w:r>
          </w:p>
        </w:tc>
      </w:tr>
      <w:tr>
        <w:trPr>
          <w:cantSplit/>
        </w:trPr>
        <w:tc>
          <w:tcPr>
            <w:tcW w:type="dxa" w:w="204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Notificaciones</w:t>
            </w:r>
          </w:p>
        </w:tc>
        <w:tc>
          <w:tcPr>
            <w:tcW w:type="dxa" w:w="7143"/>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Canal, dirección, fuente del canal y manifestación exigida.</w:t>
            </w:r>
          </w:p>
        </w:tc>
      </w:tr>
      <w:tr>
        <w:trPr>
          <w:cantSplit/>
        </w:trPr>
        <w:tc>
          <w:tcPr>
            <w:tcW w:type="dxa" w:w="204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Firma</w:t>
            </w:r>
          </w:p>
        </w:tc>
        <w:tc>
          <w:tcPr>
            <w:tcW w:type="dxa" w:w="7143"/>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Nombre, C.C., T.P., calidad y correo coincidentes.</w:t>
            </w:r>
          </w:p>
        </w:tc>
      </w:tr>
    </w:tbl>
    <w:p>
      <w:pPr>
        <w:spacing w:before="0" w:after="0" w:line="240" w:lineRule="auto"/>
        <w:keepLines w:val="1"/>
        <w:widowControl w:val="1"/>
      </w:pPr>
    </w:p>
    <w:p>
      <w:pPr>
        <w:spacing w:before="140" w:after="60" w:line="240" w:lineRule="auto"/>
        <w:keepLines w:val="1"/>
        <w:widowControl w:val="1"/>
        <w:keepNext w:val="1"/>
      </w:pPr>
      <w:r>
        <w:rPr>
          <w:rFonts w:ascii="Arial" w:hAnsi="Arial" w:eastAsia="Arial"/>
          <w:b/>
          <w:color w:val="17365D"/>
          <w:sz w:val="21"/>
        </w:rPr>
        <w:t>Reglas de estilo obligatorio</w:t>
      </w:r>
    </w:p>
    <w:p>
      <w:pPr>
        <w:pStyle w:val="ListBullet"/>
        <w:spacing w:after="52" w:line="259" w:lineRule="auto"/>
        <w:ind w:left="312" w:hanging="142"/>
        <w:keepLines w:val="1"/>
        <w:widowControl w:val="1"/>
      </w:pPr>
      <w:r>
        <w:rPr>
          <w:rFonts w:ascii="Arial" w:hAnsi="Arial" w:eastAsia="Arial"/>
          <w:color w:val="1F2937"/>
          <w:sz w:val="19"/>
        </w:rPr>
        <w:t>Máximo cuatro pretensiones ordinarias. No incluir una pretensión subsidiaria genérica para que el juez corrija lo que la parte debe liquidar correctamente.</w:t>
      </w:r>
    </w:p>
    <w:p>
      <w:pPr>
        <w:pStyle w:val="ListBullet"/>
        <w:spacing w:after="52" w:line="259" w:lineRule="auto"/>
        <w:ind w:left="312" w:hanging="142"/>
        <w:keepLines w:val="1"/>
        <w:widowControl w:val="1"/>
      </w:pPr>
      <w:r>
        <w:rPr>
          <w:rFonts w:ascii="Arial" w:hAnsi="Arial" w:eastAsia="Arial"/>
          <w:color w:val="1F2937"/>
          <w:sz w:val="19"/>
        </w:rPr>
        <w:t>Máximo ocho hechos salvo pluralidad real de títulos u obligados. No repetir en hechos la liquidación completa ni conclusiones jurídicas.</w:t>
      </w:r>
    </w:p>
    <w:p>
      <w:pPr>
        <w:pStyle w:val="ListBullet"/>
        <w:spacing w:after="52" w:line="259" w:lineRule="auto"/>
        <w:ind w:left="312" w:hanging="142"/>
        <w:keepLines w:val="1"/>
        <w:widowControl w:val="1"/>
      </w:pPr>
      <w:r>
        <w:rPr>
          <w:rFonts w:ascii="Arial" w:hAnsi="Arial" w:eastAsia="Arial"/>
          <w:color w:val="1F2937"/>
          <w:sz w:val="19"/>
        </w:rPr>
        <w:t>No escribir “a la fecha” sin día de corte; no escribir “tasa máxima” sin base, período y modalidad.</w:t>
      </w:r>
    </w:p>
    <w:p>
      <w:pPr>
        <w:pStyle w:val="ListBullet"/>
        <w:spacing w:after="52" w:line="259" w:lineRule="auto"/>
        <w:ind w:left="312" w:hanging="142"/>
        <w:keepLines w:val="1"/>
        <w:widowControl w:val="1"/>
      </w:pPr>
      <w:r>
        <w:rPr>
          <w:rFonts w:ascii="Arial" w:hAnsi="Arial" w:eastAsia="Arial"/>
          <w:color w:val="1F2937"/>
          <w:sz w:val="19"/>
        </w:rPr>
        <w:t>No afirmar “obligación clara, expresa y exigible” como sustituto de demostrar vencimiento y saldo.</w:t>
      </w:r>
    </w:p>
    <w:p>
      <w:pPr>
        <w:pStyle w:val="ListBullet"/>
        <w:spacing w:after="52" w:line="259" w:lineRule="auto"/>
        <w:ind w:left="312" w:hanging="142"/>
        <w:keepLines w:val="1"/>
        <w:widowControl w:val="1"/>
      </w:pPr>
      <w:r>
        <w:rPr>
          <w:rFonts w:ascii="Arial" w:hAnsi="Arial" w:eastAsia="Arial"/>
          <w:color w:val="1F2937"/>
          <w:sz w:val="19"/>
        </w:rPr>
        <w:t>No reclamar honorarios, gastos de cobranza, seguros o sanciones sin soporte expreso y control de legalidad.</w:t>
      </w:r>
    </w:p>
    <w:p>
      <w:pPr>
        <w:pStyle w:val="ListBullet"/>
        <w:spacing w:after="52" w:line="259" w:lineRule="auto"/>
        <w:ind w:left="312" w:hanging="142"/>
        <w:keepLines w:val="1"/>
        <w:widowControl w:val="1"/>
      </w:pPr>
      <w:r>
        <w:rPr>
          <w:rFonts w:ascii="Arial" w:hAnsi="Arial" w:eastAsia="Arial"/>
          <w:color w:val="1F2937"/>
          <w:sz w:val="19"/>
        </w:rPr>
        <w:t>No anunciar “los demás documentos”, “si obra”, “si se aporta” o anexos que no existen.</w:t>
      </w:r>
    </w:p>
    <w:p>
      <w:pPr>
        <w:pStyle w:val="ListBullet"/>
        <w:spacing w:after="52" w:line="259" w:lineRule="auto"/>
        <w:ind w:left="312" w:hanging="142"/>
        <w:keepLines w:val="1"/>
        <w:widowControl w:val="1"/>
      </w:pPr>
      <w:r>
        <w:rPr>
          <w:rFonts w:ascii="Arial" w:hAnsi="Arial" w:eastAsia="Arial"/>
          <w:color w:val="1F2937"/>
          <w:sz w:val="19"/>
        </w:rPr>
        <w:t>No incluir doctrina, historia del crédito, régimen cooperativo general ni jurisprudencia si no resuelven un problema concreto.</w:t>
      </w:r>
    </w:p>
    <w:p>
      <w:pPr>
        <w:pStyle w:val="ListBullet"/>
        <w:spacing w:after="52" w:line="259" w:lineRule="auto"/>
        <w:ind w:left="312" w:hanging="142"/>
        <w:keepLines w:val="1"/>
        <w:widowControl w:val="1"/>
      </w:pPr>
      <w:r>
        <w:rPr>
          <w:rFonts w:ascii="Arial" w:hAnsi="Arial" w:eastAsia="Arial"/>
          <w:color w:val="1F2937"/>
          <w:sz w:val="19"/>
        </w:rPr>
        <w:t>Revisar singular/plural, género, número de pagaré, obligación y nombres en cada página.</w:t>
      </w:r>
    </w:p>
    <w:tbl>
      <w:tblPr>
        <w:tblW w:type="auto" w:w="0"/>
        <w:jc w:val="center"/>
        <w:tblLayout w:type="autofit"/>
        <w:tblLook w:firstColumn="1" w:firstRow="1" w:lastColumn="0" w:lastRow="0" w:noHBand="0" w:noVBand="1" w:val="04A0"/>
      </w:tblPr>
      <w:tblGrid>
        <w:gridCol w:w="9576"/>
      </w:tblGrid>
      <w:tr>
        <w:trPr>
          <w:cantSplit/>
        </w:trPr>
        <w:tc>
          <w:tcPr>
            <w:tcW w:type="dxa" w:w="9576"/>
            <w:shd w:fill="EAF1F8"/>
            <w:tcMar>
              <w:top w:w="115" w:type="dxa"/>
              <w:start w:w="140" w:type="dxa"/>
              <w:bottom w:w="115" w:type="dxa"/>
              <w:end w:w="140" w:type="dxa"/>
            </w:tcMar>
          </w:tcPr>
          <w:p>
            <w:pPr>
              <w:spacing w:before="0" w:after="40" w:line="252" w:lineRule="auto"/>
              <w:keepLines w:val="1"/>
              <w:widowControl w:val="1"/>
            </w:pPr>
            <w:r>
              <w:rPr>
                <w:rFonts w:ascii="Arial" w:hAnsi="Arial" w:eastAsia="Arial"/>
                <w:b/>
                <w:color w:val="17365D"/>
                <w:sz w:val="19"/>
              </w:rPr>
              <w:t>PRUEBA DE UTILIDAD</w:t>
            </w:r>
          </w:p>
          <w:p>
            <w:pPr>
              <w:spacing w:before="0" w:after="0" w:line="259" w:lineRule="auto"/>
              <w:keepLines w:val="1"/>
              <w:widowControl w:val="1"/>
            </w:pPr>
            <w:r>
              <w:rPr>
                <w:rFonts w:ascii="Arial" w:hAnsi="Arial" w:eastAsia="Arial"/>
                <w:color w:val="1F2937"/>
                <w:sz w:val="19"/>
              </w:rPr>
              <w:t>Antes de conservar un párrafo, preguntar: ¿identifica, prueba, cuantifica, justifica competencia o solicita una decisión? Si la respuesta es no, se elimina.</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16. MEDIDAS CAUTELARES: SIEMPRE ESCRITO, SOLO MÓDULOS PROBADOS</w:t>
      </w:r>
    </w:p>
    <w:p>
      <w:pPr>
        <w:spacing w:before="0" w:after="100" w:line="269" w:lineRule="auto"/>
        <w:keepLines w:val="1"/>
        <w:widowControl w:val="1"/>
      </w:pPr>
      <w:r>
        <w:rPr>
          <w:rFonts w:ascii="Arial" w:hAnsi="Arial" w:eastAsia="Arial"/>
          <w:i w:val="0"/>
          <w:color w:val="1F2937"/>
          <w:sz w:val="20"/>
        </w:rPr>
        <w:t>El escrito cautelar se presenta siempre, separado de la demanda. La selección de módulos depende de evidencia actual y finalidad concreta.</w:t>
      </w:r>
    </w:p>
    <w:tbl>
      <w:tblPr>
        <w:tblStyle w:val="TableGrid"/>
        <w:tblW w:type="auto" w:w="0"/>
        <w:jc w:val="center"/>
        <w:tblLayout w:type="autofit"/>
        <w:tblLook w:firstColumn="1" w:firstRow="1" w:lastColumn="0" w:lastRow="0" w:noHBand="0" w:noVBand="1" w:val="04A0"/>
      </w:tblPr>
      <w:tblGrid>
        <w:gridCol w:w="3192"/>
        <w:gridCol w:w="3192"/>
        <w:gridCol w:w="3192"/>
      </w:tblGrid>
      <w:tr>
        <w:trPr>
          <w:tblHeader w:val="true"/>
          <w:cantSplit/>
        </w:trPr>
        <w:tc>
          <w:tcPr>
            <w:tcW w:type="dxa" w:w="175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Módulo</w:t>
            </w:r>
          </w:p>
        </w:tc>
        <w:tc>
          <w:tcPr>
            <w:tcW w:type="dxa" w:w="4025"/>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Condición de activación</w:t>
            </w:r>
          </w:p>
        </w:tc>
        <w:tc>
          <w:tcPr>
            <w:tcW w:type="dxa" w:w="3515"/>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Control principal</w:t>
            </w:r>
          </w:p>
        </w:tc>
      </w:tr>
      <w:tr>
        <w:trPr>
          <w:cantSplit/>
        </w:trPr>
        <w:tc>
          <w:tcPr>
            <w:tcW w:type="dxa" w:w="175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Depósitos / productos</w:t>
            </w:r>
          </w:p>
        </w:tc>
        <w:tc>
          <w:tcPr>
            <w:tcW w:type="dxa" w:w="402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Entidad individualizada por fuente lícita y razonablemente actual.</w:t>
            </w:r>
          </w:p>
        </w:tc>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Monto máximo numérico; naturaleza del producto; inembargabilidad.</w:t>
            </w:r>
          </w:p>
        </w:tc>
      </w:tr>
      <w:tr>
        <w:trPr>
          <w:cantSplit/>
        </w:trPr>
        <w:tc>
          <w:tcPr>
            <w:tcW w:type="dxa" w:w="175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Salario</w:t>
            </w:r>
          </w:p>
        </w:tc>
        <w:tc>
          <w:tcPr>
            <w:tcW w:type="dxa" w:w="402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Empleador o pagador identificado y actualizado.</w:t>
            </w:r>
          </w:p>
        </w:tc>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Hasta el porcentaje legal aplicable; conceptos embargables; preferencias.</w:t>
            </w:r>
          </w:p>
        </w:tc>
      </w:tr>
      <w:tr>
        <w:trPr>
          <w:cantSplit/>
        </w:trPr>
        <w:tc>
          <w:tcPr>
            <w:tcW w:type="dxa" w:w="175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Pensión</w:t>
            </w:r>
          </w:p>
        </w:tc>
        <w:tc>
          <w:tcPr>
            <w:tcW w:type="dxa" w:w="402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Condición de pensionado y pagador concreto acreditados.</w:t>
            </w:r>
          </w:p>
        </w:tc>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Régimen especial, base neta y excepción cooperativa verificadas; no oficiar a todos los fondos.</w:t>
            </w:r>
          </w:p>
        </w:tc>
      </w:tr>
      <w:tr>
        <w:trPr>
          <w:cantSplit/>
        </w:trPr>
        <w:tc>
          <w:tcPr>
            <w:tcW w:type="dxa" w:w="175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Inmueble</w:t>
            </w:r>
          </w:p>
        </w:tc>
        <w:tc>
          <w:tcPr>
            <w:tcW w:type="dxa" w:w="402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Folio de matrícula y ORIP identificados.</w:t>
            </w:r>
          </w:p>
        </w:tc>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Titularidad, gravámenes, límite y posterior secuestro cuando proceda.</w:t>
            </w:r>
          </w:p>
        </w:tc>
      </w:tr>
      <w:tr>
        <w:trPr>
          <w:cantSplit/>
        </w:trPr>
        <w:tc>
          <w:tcPr>
            <w:tcW w:type="dxa" w:w="175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Vehículo</w:t>
            </w:r>
          </w:p>
        </w:tc>
        <w:tc>
          <w:tcPr>
            <w:tcW w:type="dxa" w:w="402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Placa, propietario y organismo de tránsito identificados.</w:t>
            </w:r>
          </w:p>
        </w:tc>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Registro, prelaciones, embargo y actuaciones posteriores separadas.</w:t>
            </w:r>
          </w:p>
        </w:tc>
      </w:tr>
      <w:tr>
        <w:trPr>
          <w:cantSplit/>
        </w:trPr>
        <w:tc>
          <w:tcPr>
            <w:tcW w:type="dxa" w:w="175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Crédito / remanente</w:t>
            </w:r>
          </w:p>
        </w:tc>
        <w:tc>
          <w:tcPr>
            <w:tcW w:type="dxa" w:w="402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Tercero, contrato o proceso fuente del derecho identificados.</w:t>
            </w:r>
          </w:p>
        </w:tc>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Individualización y orden concreta al deudor/secretaría.</w:t>
            </w:r>
          </w:p>
        </w:tc>
      </w:tr>
      <w:tr>
        <w:trPr>
          <w:cantSplit/>
        </w:trPr>
        <w:tc>
          <w:tcPr>
            <w:tcW w:type="dxa" w:w="175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Garantía mobiliaria</w:t>
            </w:r>
          </w:p>
        </w:tc>
        <w:tc>
          <w:tcPr>
            <w:tcW w:type="dxa" w:w="402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Garantía constituida e inscrita, con ruta de ejecución definida.</w:t>
            </w:r>
          </w:p>
        </w:tc>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Ley 1676, registro, prelación y mecanismo judicial/especial.</w:t>
            </w:r>
          </w:p>
        </w:tc>
      </w:tr>
    </w:tbl>
    <w:p>
      <w:pPr>
        <w:spacing w:before="0" w:after="0" w:line="240" w:lineRule="auto"/>
        <w:keepLines w:val="1"/>
        <w:widowControl w:val="1"/>
      </w:pPr>
    </w:p>
    <w:p>
      <w:pPr>
        <w:spacing w:before="140" w:after="60" w:line="240" w:lineRule="auto"/>
        <w:keepLines w:val="1"/>
        <w:widowControl w:val="1"/>
        <w:keepNext w:val="1"/>
      </w:pPr>
      <w:r>
        <w:rPr>
          <w:rFonts w:ascii="Arial" w:hAnsi="Arial" w:eastAsia="Arial"/>
          <w:b/>
          <w:color w:val="17365D"/>
          <w:sz w:val="21"/>
        </w:rPr>
        <w:t>Prohibiciones cautelares</w:t>
      </w:r>
    </w:p>
    <w:p>
      <w:pPr>
        <w:pStyle w:val="ListBullet"/>
        <w:spacing w:after="52" w:line="259" w:lineRule="auto"/>
        <w:ind w:left="312" w:hanging="142"/>
        <w:keepLines w:val="1"/>
        <w:widowControl w:val="1"/>
      </w:pPr>
      <w:r>
        <w:rPr>
          <w:rFonts w:ascii="Arial" w:hAnsi="Arial" w:eastAsia="Arial"/>
          <w:color w:val="1F2937"/>
          <w:sz w:val="19"/>
        </w:rPr>
        <w:t>No pedir “todos los bienes”, “todas las entidades”, “cualquier otra medida” ni listados nacionales automáticos.</w:t>
      </w:r>
    </w:p>
    <w:p>
      <w:pPr>
        <w:pStyle w:val="ListBullet"/>
        <w:spacing w:after="52" w:line="259" w:lineRule="auto"/>
        <w:ind w:left="312" w:hanging="142"/>
        <w:keepLines w:val="1"/>
        <w:widowControl w:val="1"/>
      </w:pPr>
      <w:r>
        <w:rPr>
          <w:rFonts w:ascii="Arial" w:hAnsi="Arial" w:eastAsia="Arial"/>
          <w:color w:val="1F2937"/>
          <w:sz w:val="19"/>
        </w:rPr>
        <w:t>No usar la cautela como investigación patrimonial indiscriminada ni mecanismo de presión.</w:t>
      </w:r>
    </w:p>
    <w:p>
      <w:pPr>
        <w:pStyle w:val="ListBullet"/>
        <w:spacing w:after="52" w:line="259" w:lineRule="auto"/>
        <w:ind w:left="312" w:hanging="142"/>
        <w:keepLines w:val="1"/>
        <w:widowControl w:val="1"/>
      </w:pPr>
      <w:r>
        <w:rPr>
          <w:rFonts w:ascii="Arial" w:hAnsi="Arial" w:eastAsia="Arial"/>
          <w:color w:val="1F2937"/>
          <w:sz w:val="19"/>
        </w:rPr>
        <w:t>No confundir solicitud de información, inscripción de embargo, retención, aprehensión y secuestro: cada actuación tiene objeto y momento propio.</w:t>
      </w:r>
    </w:p>
    <w:p>
      <w:pPr>
        <w:pStyle w:val="ListBullet"/>
        <w:spacing w:after="52" w:line="259" w:lineRule="auto"/>
        <w:ind w:left="312" w:hanging="142"/>
        <w:keepLines w:val="1"/>
        <w:widowControl w:val="1"/>
      </w:pPr>
      <w:r>
        <w:rPr>
          <w:rFonts w:ascii="Arial" w:hAnsi="Arial" w:eastAsia="Arial"/>
          <w:color w:val="1F2937"/>
          <w:sz w:val="19"/>
        </w:rPr>
        <w:t>No pedir automáticamente 50 % de salario o pensión. Se usa “hasta” el límite legal y se verifica la base concreta.</w:t>
      </w:r>
    </w:p>
    <w:p>
      <w:pPr>
        <w:pStyle w:val="ListBullet"/>
        <w:spacing w:after="52" w:line="259" w:lineRule="auto"/>
        <w:ind w:left="312" w:hanging="142"/>
        <w:keepLines w:val="1"/>
        <w:widowControl w:val="1"/>
      </w:pPr>
      <w:r>
        <w:rPr>
          <w:rFonts w:ascii="Arial" w:hAnsi="Arial" w:eastAsia="Arial"/>
          <w:color w:val="1F2937"/>
          <w:sz w:val="19"/>
        </w:rPr>
        <w:t>No equiparar bancos, cooperativas, depósitos de bajo monto, billeteras digitales y otros productos sin revisar su régimen.</w:t>
      </w:r>
    </w:p>
    <w:p>
      <w:pPr>
        <w:pStyle w:val="ListBullet"/>
        <w:spacing w:after="52" w:line="259" w:lineRule="auto"/>
        <w:ind w:left="312" w:hanging="142"/>
        <w:keepLines w:val="1"/>
        <w:widowControl w:val="1"/>
      </w:pPr>
      <w:r>
        <w:rPr>
          <w:rFonts w:ascii="Arial" w:hAnsi="Arial" w:eastAsia="Arial"/>
          <w:color w:val="1F2937"/>
          <w:sz w:val="19"/>
        </w:rPr>
        <w:t>No afirmar exención de caución por la sola naturaleza cooperativa. Verificar el supuesto exacto del artículo 599 del CGP y la condición de CREARCOOP.</w:t>
      </w:r>
    </w:p>
    <w:p>
      <w:pPr>
        <w:pStyle w:val="ListBullet"/>
        <w:spacing w:after="52" w:line="259" w:lineRule="auto"/>
        <w:ind w:left="312" w:hanging="142"/>
        <w:keepLines w:val="1"/>
        <w:widowControl w:val="1"/>
      </w:pPr>
      <w:r>
        <w:rPr>
          <w:rFonts w:ascii="Arial" w:hAnsi="Arial" w:eastAsia="Arial"/>
          <w:color w:val="1F2937"/>
          <w:sz w:val="19"/>
        </w:rPr>
        <w:t>No superar el límite global de proporcionalidad ni el límite específico para depósitos. Ambos valores se calculan y se escriben.</w:t>
      </w:r>
    </w:p>
    <w:p>
      <w:pPr>
        <w:pStyle w:val="ListBullet"/>
        <w:spacing w:after="52" w:line="259" w:lineRule="auto"/>
        <w:ind w:left="312" w:hanging="142"/>
        <w:keepLines w:val="1"/>
        <w:widowControl w:val="1"/>
      </w:pPr>
      <w:r>
        <w:rPr>
          <w:rFonts w:ascii="Arial" w:hAnsi="Arial" w:eastAsia="Arial"/>
          <w:color w:val="1F2937"/>
          <w:sz w:val="19"/>
        </w:rPr>
        <w:t>No mantener medidas incompatibles con insolvencia, sucesión o inembargabilidad.</w:t>
      </w:r>
    </w:p>
    <w:tbl>
      <w:tblPr>
        <w:tblStyle w:val="TableGrid"/>
        <w:tblW w:type="auto" w:w="0"/>
        <w:jc w:val="center"/>
        <w:tblLayout w:type="autofit"/>
        <w:tblLook w:firstColumn="1" w:firstRow="1" w:lastColumn="0" w:lastRow="0" w:noHBand="0" w:noVBand="1" w:val="04A0"/>
      </w:tblPr>
      <w:tblGrid>
        <w:gridCol w:w="1596"/>
        <w:gridCol w:w="1596"/>
        <w:gridCol w:w="1596"/>
        <w:gridCol w:w="1596"/>
        <w:gridCol w:w="1596"/>
        <w:gridCol w:w="1596"/>
      </w:tblGrid>
      <w:tr>
        <w:trPr>
          <w:tblHeader w:val="true"/>
          <w:cantSplit/>
        </w:trPr>
        <w:tc>
          <w:tcPr>
            <w:tcW w:type="dxa" w:w="147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Medida</w:t>
            </w:r>
          </w:p>
        </w:tc>
        <w:tc>
          <w:tcPr>
            <w:tcW w:type="dxa" w:w="170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Bien / tercero</w:t>
            </w:r>
          </w:p>
        </w:tc>
        <w:tc>
          <w:tcPr>
            <w:tcW w:type="dxa" w:w="181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Fuente</w:t>
            </w:r>
          </w:p>
        </w:tc>
        <w:tc>
          <w:tcPr>
            <w:tcW w:type="dxa" w:w="119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Límite</w:t>
            </w:r>
          </w:p>
        </w:tc>
        <w:tc>
          <w:tcPr>
            <w:tcW w:type="dxa" w:w="204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Inembargabilidad / riesgo</w:t>
            </w:r>
          </w:p>
        </w:tc>
        <w:tc>
          <w:tcPr>
            <w:tcW w:type="dxa" w:w="124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Decisión</w:t>
            </w:r>
          </w:p>
        </w:tc>
      </w:tr>
      <w:tr>
        <w:trPr>
          <w:cantSplit/>
        </w:trPr>
        <w:tc>
          <w:tcPr>
            <w:tcW w:type="dxa" w:w="147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Depósitos</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19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04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47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Salario</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19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04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147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Pensión</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19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04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47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Inmueble</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19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04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147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Vehículo</w:t>
            </w:r>
          </w:p>
        </w:tc>
        <w:tc>
          <w:tcPr>
            <w:tcW w:type="dxa" w:w="170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19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04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147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Crédito / remanente</w:t>
            </w:r>
          </w:p>
        </w:tc>
        <w:tc>
          <w:tcPr>
            <w:tcW w:type="dxa" w:w="170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81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19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04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17. JUSTICIA DIGITAL, NOTIFICACIÓN Y EXPEDIENTE ELECTRÓNICO</w:t>
      </w:r>
    </w:p>
    <w:p>
      <w:pPr>
        <w:pStyle w:val="ListBullet"/>
        <w:spacing w:after="52" w:line="259" w:lineRule="auto"/>
        <w:ind w:left="312" w:hanging="142"/>
        <w:keepLines w:val="1"/>
        <w:widowControl w:val="1"/>
      </w:pPr>
      <w:r>
        <w:rPr>
          <w:rFonts w:ascii="Arial" w:hAnsi="Arial" w:eastAsia="Arial"/>
          <w:color w:val="1F2937"/>
          <w:sz w:val="19"/>
        </w:rPr>
        <w:t>Indicar el canal digital de partes, representantes y terceros exigidos, o manifestar con precisión que se desconoce cuando la ley lo permite.</w:t>
      </w:r>
    </w:p>
    <w:p>
      <w:pPr>
        <w:pStyle w:val="ListBullet"/>
        <w:spacing w:after="52" w:line="259" w:lineRule="auto"/>
        <w:ind w:left="312" w:hanging="142"/>
        <w:keepLines w:val="1"/>
        <w:widowControl w:val="1"/>
      </w:pPr>
      <w:r>
        <w:rPr>
          <w:rFonts w:ascii="Arial" w:hAnsi="Arial" w:eastAsia="Arial"/>
          <w:color w:val="1F2937"/>
          <w:sz w:val="19"/>
        </w:rPr>
        <w:t>Para el correo del demandado, registrar bajo juramento cómo se obtuvo y adjuntar la evidencia. Un dato sin fuente no se usa.</w:t>
      </w:r>
    </w:p>
    <w:p>
      <w:pPr>
        <w:pStyle w:val="ListBullet"/>
        <w:spacing w:after="52" w:line="259" w:lineRule="auto"/>
        <w:ind w:left="312" w:hanging="142"/>
        <w:keepLines w:val="1"/>
        <w:widowControl w:val="1"/>
      </w:pPr>
      <w:r>
        <w:rPr>
          <w:rFonts w:ascii="Arial" w:hAnsi="Arial" w:eastAsia="Arial"/>
          <w:color w:val="1F2937"/>
          <w:sz w:val="19"/>
        </w:rPr>
        <w:t>No enviar al demandado la demanda antes de radicar cuando se piden cautelas previas. Conservar la trazabilidad de la excepción.</w:t>
      </w:r>
    </w:p>
    <w:p>
      <w:pPr>
        <w:pStyle w:val="ListBullet"/>
        <w:spacing w:after="52" w:line="259" w:lineRule="auto"/>
        <w:ind w:left="312" w:hanging="142"/>
        <w:keepLines w:val="1"/>
        <w:widowControl w:val="1"/>
      </w:pPr>
      <w:r>
        <w:rPr>
          <w:rFonts w:ascii="Arial" w:hAnsi="Arial" w:eastAsia="Arial"/>
          <w:color w:val="1F2937"/>
          <w:sz w:val="19"/>
        </w:rPr>
        <w:t>Una vez decretadas o practicadas las medidas, impulsar la notificación personal del mandamiento sin demora y controlar entrega, acuse, rebote, acceso y términos.</w:t>
      </w:r>
    </w:p>
    <w:p>
      <w:pPr>
        <w:pStyle w:val="ListBullet"/>
        <w:spacing w:after="52" w:line="259" w:lineRule="auto"/>
        <w:ind w:left="312" w:hanging="142"/>
        <w:keepLines w:val="1"/>
        <w:widowControl w:val="1"/>
      </w:pPr>
      <w:r>
        <w:rPr>
          <w:rFonts w:ascii="Arial" w:hAnsi="Arial" w:eastAsia="Arial"/>
          <w:color w:val="1F2937"/>
          <w:sz w:val="19"/>
        </w:rPr>
        <w:t>Conservar mensaje completo de radicación, canal oficial de reparto, adjuntos, tamaño, fecha, hora y acuse.</w:t>
      </w:r>
    </w:p>
    <w:p>
      <w:pPr>
        <w:pStyle w:val="ListBullet"/>
        <w:spacing w:after="52" w:line="259" w:lineRule="auto"/>
        <w:ind w:left="312" w:hanging="142"/>
        <w:keepLines w:val="1"/>
        <w:widowControl w:val="1"/>
      </w:pPr>
      <w:r>
        <w:rPr>
          <w:rFonts w:ascii="Arial" w:hAnsi="Arial" w:eastAsia="Arial"/>
          <w:color w:val="1F2937"/>
          <w:sz w:val="19"/>
        </w:rPr>
        <w:t>Nombrar anexos de manera inequívoca; verificar que cada PDF abre, contiene todas sus páginas, está orientado, es legible y no tiene contraseña.</w:t>
      </w:r>
    </w:p>
    <w:p>
      <w:pPr>
        <w:pStyle w:val="ListBullet"/>
        <w:spacing w:after="52" w:line="259" w:lineRule="auto"/>
        <w:ind w:left="312" w:hanging="142"/>
        <w:keepLines w:val="1"/>
        <w:widowControl w:val="1"/>
      </w:pPr>
      <w:r>
        <w:rPr>
          <w:rFonts w:ascii="Arial" w:hAnsi="Arial" w:eastAsia="Arial"/>
          <w:color w:val="1F2937"/>
          <w:sz w:val="19"/>
        </w:rPr>
        <w:t>La lista de anexos del escrito debe coincidir exactamente con los archivos enviados.</w:t>
      </w:r>
    </w:p>
    <w:p>
      <w:pPr>
        <w:pStyle w:val="ListBullet"/>
        <w:spacing w:after="52" w:line="259" w:lineRule="auto"/>
        <w:ind w:left="312" w:hanging="142"/>
        <w:keepLines w:val="1"/>
        <w:widowControl w:val="1"/>
      </w:pPr>
      <w:r>
        <w:rPr>
          <w:rFonts w:ascii="Arial" w:hAnsi="Arial" w:eastAsia="Arial"/>
          <w:color w:val="1F2937"/>
          <w:sz w:val="19"/>
        </w:rPr>
        <w:t>En firmas electrónicas, conservar el original verificable y su trazabilidad, no solo una captura o impresión.</w:t>
      </w:r>
    </w:p>
    <w:p>
      <w:pPr>
        <w:pStyle w:val="ListBullet"/>
        <w:spacing w:after="52" w:line="259" w:lineRule="auto"/>
        <w:ind w:left="312" w:hanging="142"/>
        <w:keepLines w:val="1"/>
        <w:widowControl w:val="1"/>
      </w:pPr>
      <w:r>
        <w:rPr>
          <w:rFonts w:ascii="Arial" w:hAnsi="Arial" w:eastAsia="Arial"/>
          <w:color w:val="1F2937"/>
          <w:sz w:val="19"/>
        </w:rPr>
        <w:t>No divulgar cautelas, datos patrimoniales o información sensible fuera del equipo autorizado.</w:t>
      </w:r>
    </w:p>
    <w:tbl>
      <w:tblPr>
        <w:tblW w:type="auto" w:w="0"/>
        <w:jc w:val="center"/>
        <w:tblLayout w:type="autofit"/>
        <w:tblLook w:firstColumn="1" w:firstRow="1" w:lastColumn="0" w:lastRow="0" w:noHBand="0" w:noVBand="1" w:val="04A0"/>
      </w:tblPr>
      <w:tblGrid>
        <w:gridCol w:w="9576"/>
      </w:tblGrid>
      <w:tr>
        <w:trPr>
          <w:cantSplit/>
        </w:trPr>
        <w:tc>
          <w:tcPr>
            <w:tcW w:type="dxa" w:w="9576"/>
            <w:shd w:fill="FDECEC"/>
            <w:tcMar>
              <w:top w:w="115" w:type="dxa"/>
              <w:start w:w="140" w:type="dxa"/>
              <w:bottom w:w="115" w:type="dxa"/>
              <w:end w:w="140" w:type="dxa"/>
            </w:tcMar>
          </w:tcPr>
          <w:p>
            <w:pPr>
              <w:spacing w:before="0" w:after="40" w:line="252" w:lineRule="auto"/>
              <w:keepLines w:val="1"/>
              <w:widowControl w:val="1"/>
            </w:pPr>
            <w:r>
              <w:rPr>
                <w:rFonts w:ascii="Arial" w:hAnsi="Arial" w:eastAsia="Arial"/>
                <w:b/>
                <w:color w:val="A61B1B"/>
                <w:sz w:val="19"/>
              </w:rPr>
              <w:t>NOTIFICACIÓN NO ES ENVÍO PREVIO</w:t>
            </w:r>
          </w:p>
          <w:p>
            <w:pPr>
              <w:spacing w:before="0" w:after="0" w:line="259" w:lineRule="auto"/>
              <w:keepLines w:val="1"/>
              <w:widowControl w:val="1"/>
            </w:pPr>
            <w:r>
              <w:rPr>
                <w:rFonts w:ascii="Arial" w:hAnsi="Arial" w:eastAsia="Arial"/>
                <w:color w:val="1F2937"/>
                <w:sz w:val="19"/>
              </w:rPr>
              <w:t>La frase “no se notifica antes” solo significa que no se remite simultáneamente copia de la demanda y anexos antes o al momento de la radicación, por existir cautelas previas. El mandamiento sí debe notificarse después conforme al CGP y a la Ley 2213.</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18. JURISPRUDENCIA: PROHIBIDO CITAR SIN RATIO</w:t>
      </w:r>
    </w:p>
    <w:p>
      <w:pPr>
        <w:spacing w:before="0" w:after="100" w:line="269" w:lineRule="auto"/>
        <w:keepLines w:val="1"/>
        <w:widowControl w:val="1"/>
      </w:pPr>
      <w:r>
        <w:rPr>
          <w:rFonts w:ascii="Arial" w:hAnsi="Arial" w:eastAsia="Arial"/>
          <w:i w:val="0"/>
          <w:color w:val="1F2937"/>
          <w:sz w:val="20"/>
        </w:rPr>
        <w:t>Una providencia solo entra al escrito cuando resuelve un problema real que la ley no cierre por sí sola. Debe diligenciarse esta ficha:</w:t>
      </w:r>
    </w:p>
    <w:tbl>
      <w:tblPr>
        <w:tblStyle w:val="TableGrid"/>
        <w:tblW w:type="auto" w:w="0"/>
        <w:jc w:val="center"/>
        <w:tblLayout w:type="autofit"/>
        <w:tblLook w:firstColumn="1" w:firstRow="1" w:lastColumn="0" w:lastRow="0" w:noHBand="0" w:noVBand="1" w:val="04A0"/>
      </w:tblPr>
      <w:tblGrid>
        <w:gridCol w:w="4788"/>
        <w:gridCol w:w="4788"/>
      </w:tblGrid>
      <w:tr>
        <w:trPr>
          <w:tblHeader w:val="true"/>
          <w:cantSplit/>
        </w:trPr>
        <w:tc>
          <w:tcPr>
            <w:tcW w:type="dxa" w:w="3118"/>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Elemento</w:t>
            </w:r>
          </w:p>
        </w:tc>
        <w:tc>
          <w:tcPr>
            <w:tcW w:type="dxa" w:w="6236"/>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Registro obligatorio</w:t>
            </w:r>
          </w:p>
        </w:tc>
      </w:tr>
      <w:tr>
        <w:trPr>
          <w:cantSplit/>
        </w:trPr>
        <w:tc>
          <w:tcPr>
            <w:tcW w:type="dxa" w:w="311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Órgano, sala y ponente</w:t>
            </w:r>
          </w:p>
        </w:tc>
        <w:tc>
          <w:tcPr>
            <w:tcW w:type="dxa" w:w="6236"/>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Tipo, número y fecha</w:t>
            </w:r>
          </w:p>
        </w:tc>
        <w:tc>
          <w:tcPr>
            <w:tcW w:type="dxa" w:w="6236"/>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Radicado</w:t>
            </w:r>
          </w:p>
        </w:tc>
        <w:tc>
          <w:tcPr>
            <w:tcW w:type="dxa" w:w="6236"/>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Fuente oficial</w:t>
            </w:r>
          </w:p>
        </w:tc>
        <w:tc>
          <w:tcPr>
            <w:tcW w:type="dxa" w:w="6236"/>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Hechos relevantes</w:t>
            </w:r>
          </w:p>
        </w:tc>
        <w:tc>
          <w:tcPr>
            <w:tcW w:type="dxa" w:w="6236"/>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Problema jurídico</w:t>
            </w:r>
          </w:p>
        </w:tc>
        <w:tc>
          <w:tcPr>
            <w:tcW w:type="dxa" w:w="6236"/>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Decisión</w:t>
            </w:r>
          </w:p>
        </w:tc>
        <w:tc>
          <w:tcPr>
            <w:tcW w:type="dxa" w:w="6236"/>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Ratio decidendi</w:t>
            </w:r>
          </w:p>
        </w:tc>
        <w:tc>
          <w:tcPr>
            <w:tcW w:type="dxa" w:w="6236"/>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Regla concreta</w:t>
            </w:r>
          </w:p>
        </w:tc>
        <w:tc>
          <w:tcPr>
            <w:tcW w:type="dxa" w:w="6236"/>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Similitud con el expediente</w:t>
            </w:r>
          </w:p>
        </w:tc>
        <w:tc>
          <w:tcPr>
            <w:tcW w:type="dxa" w:w="6236"/>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Diferencias y límites</w:t>
            </w:r>
          </w:p>
        </w:tc>
        <w:tc>
          <w:tcPr>
            <w:tcW w:type="dxa" w:w="6236"/>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r>
          </w:p>
        </w:tc>
      </w:tr>
      <w:tr>
        <w:trPr>
          <w:cantSplit/>
        </w:trPr>
        <w:tc>
          <w:tcPr>
            <w:tcW w:type="dxa" w:w="311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Párrafo que soporta</w:t>
            </w:r>
          </w:p>
        </w:tc>
        <w:tc>
          <w:tcPr>
            <w:tcW w:type="dxa" w:w="6236"/>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r>
          </w:p>
        </w:tc>
      </w:tr>
    </w:tbl>
    <w:p>
      <w:pPr>
        <w:spacing w:before="0" w:after="0" w:line="240" w:lineRule="auto"/>
        <w:keepLines w:val="1"/>
        <w:widowControl w:val="1"/>
      </w:pPr>
    </w:p>
    <w:tbl>
      <w:tblPr>
        <w:tblW w:type="auto" w:w="0"/>
        <w:jc w:val="center"/>
        <w:tblLayout w:type="autofit"/>
        <w:tblLook w:firstColumn="1" w:firstRow="1" w:lastColumn="0" w:lastRow="0" w:noHBand="0" w:noVBand="1" w:val="04A0"/>
      </w:tblPr>
      <w:tblGrid>
        <w:gridCol w:w="9576"/>
      </w:tblGrid>
      <w:tr>
        <w:trPr>
          <w:cantSplit/>
        </w:trPr>
        <w:tc>
          <w:tcPr>
            <w:tcW w:type="dxa" w:w="9576"/>
            <w:shd w:fill="FDECEC"/>
            <w:tcMar>
              <w:top w:w="115" w:type="dxa"/>
              <w:start w:w="140" w:type="dxa"/>
              <w:bottom w:w="115" w:type="dxa"/>
              <w:end w:w="140" w:type="dxa"/>
            </w:tcMar>
          </w:tcPr>
          <w:p>
            <w:pPr>
              <w:spacing w:before="0" w:after="40" w:line="252" w:lineRule="auto"/>
              <w:keepLines w:val="1"/>
              <w:widowControl w:val="1"/>
            </w:pPr>
            <w:r>
              <w:rPr>
                <w:rFonts w:ascii="Arial" w:hAnsi="Arial" w:eastAsia="Arial"/>
                <w:b/>
                <w:color w:val="A61B1B"/>
                <w:sz w:val="19"/>
              </w:rPr>
              <w:t>PROHIBICIONES</w:t>
            </w:r>
          </w:p>
          <w:p>
            <w:pPr>
              <w:spacing w:before="0" w:after="0" w:line="259" w:lineRule="auto"/>
              <w:keepLines w:val="1"/>
              <w:widowControl w:val="1"/>
            </w:pPr>
            <w:r>
              <w:rPr>
                <w:rFonts w:ascii="Arial" w:hAnsi="Arial" w:eastAsia="Arial"/>
                <w:color w:val="1F2937"/>
                <w:sz w:val="19"/>
              </w:rPr>
              <w:t>No usar titulares de relatoría, resúmenes internos, buscadores, blogs, obiter dicta ni listados de sentencias. No escribir “la Corte ha señalado” sin identificar la regla decisoria y su aplicación. Si la providencia no puede verificarse en la fuente oficial, se omite.</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19. TRIPLE REVISIÓN ADVERSARIAL ANTES DE FIRMAR</w:t>
      </w:r>
    </w:p>
    <w:p>
      <w:pPr>
        <w:spacing w:before="140" w:after="60" w:line="240" w:lineRule="auto"/>
        <w:keepLines w:val="1"/>
        <w:widowControl w:val="1"/>
        <w:keepNext w:val="1"/>
      </w:pPr>
      <w:r>
        <w:rPr>
          <w:rFonts w:ascii="Arial" w:hAnsi="Arial" w:eastAsia="Arial"/>
          <w:b/>
          <w:color w:val="17365D"/>
          <w:sz w:val="21"/>
        </w:rPr>
        <w:t>A. Simulación del juez</w:t>
      </w:r>
    </w:p>
    <w:p>
      <w:pPr>
        <w:pStyle w:val="ListBullet"/>
        <w:spacing w:after="52" w:line="259" w:lineRule="auto"/>
        <w:ind w:left="312" w:hanging="142"/>
        <w:keepLines w:val="1"/>
        <w:widowControl w:val="1"/>
      </w:pPr>
      <w:r>
        <w:rPr>
          <w:rFonts w:ascii="Arial" w:hAnsi="Arial" w:eastAsia="Arial"/>
          <w:color w:val="1F2937"/>
          <w:sz w:val="19"/>
        </w:rPr>
        <w:t>Construir el mejor auto posible de inadmisión: requisitos faltantes, poder, anexos, canales, cuantía, competencia y claridad.</w:t>
      </w:r>
    </w:p>
    <w:p>
      <w:pPr>
        <w:pStyle w:val="ListBullet"/>
        <w:spacing w:after="52" w:line="259" w:lineRule="auto"/>
        <w:ind w:left="312" w:hanging="142"/>
        <w:keepLines w:val="1"/>
        <w:widowControl w:val="1"/>
      </w:pPr>
      <w:r>
        <w:rPr>
          <w:rFonts w:ascii="Arial" w:hAnsi="Arial" w:eastAsia="Arial"/>
          <w:color w:val="1F2937"/>
          <w:sz w:val="19"/>
        </w:rPr>
        <w:t>Construir la mejor razón para negar o modificar el mandamiento: título, exigibilidad, prescripción, capital e intereses.</w:t>
      </w:r>
    </w:p>
    <w:p>
      <w:pPr>
        <w:pStyle w:val="ListBullet"/>
        <w:spacing w:after="52" w:line="259" w:lineRule="auto"/>
        <w:ind w:left="312" w:hanging="142"/>
        <w:keepLines w:val="1"/>
        <w:widowControl w:val="1"/>
      </w:pPr>
      <w:r>
        <w:rPr>
          <w:rFonts w:ascii="Arial" w:hAnsi="Arial" w:eastAsia="Arial"/>
          <w:color w:val="1F2937"/>
          <w:sz w:val="19"/>
        </w:rPr>
        <w:t>Construir la mejor razón para negar, limitar o condicionar cada medida cautelar.</w:t>
      </w:r>
    </w:p>
    <w:p>
      <w:pPr>
        <w:spacing w:before="140" w:after="60" w:line="240" w:lineRule="auto"/>
        <w:keepLines w:val="1"/>
        <w:widowControl w:val="1"/>
        <w:keepNext w:val="1"/>
      </w:pPr>
      <w:r>
        <w:rPr>
          <w:rFonts w:ascii="Arial" w:hAnsi="Arial" w:eastAsia="Arial"/>
          <w:b/>
          <w:color w:val="17365D"/>
          <w:sz w:val="21"/>
        </w:rPr>
        <w:t>B. Simulación de la defensa</w:t>
      </w:r>
    </w:p>
    <w:p>
      <w:pPr>
        <w:pStyle w:val="ListBullet"/>
        <w:spacing w:after="52" w:line="259" w:lineRule="auto"/>
        <w:ind w:left="312" w:hanging="142"/>
        <w:keepLines w:val="1"/>
        <w:widowControl w:val="1"/>
      </w:pPr>
      <w:r>
        <w:rPr>
          <w:rFonts w:ascii="Arial" w:hAnsi="Arial" w:eastAsia="Arial"/>
          <w:color w:val="1F2937"/>
          <w:sz w:val="19"/>
        </w:rPr>
        <w:t>Firma, calidad cambiaria, llenado contrario a instrucciones, alteración o falta de legitimación.</w:t>
      </w:r>
    </w:p>
    <w:p>
      <w:pPr>
        <w:pStyle w:val="ListBullet"/>
        <w:spacing w:after="52" w:line="259" w:lineRule="auto"/>
        <w:ind w:left="312" w:hanging="142"/>
        <w:keepLines w:val="1"/>
        <w:widowControl w:val="1"/>
      </w:pPr>
      <w:r>
        <w:rPr>
          <w:rFonts w:ascii="Arial" w:hAnsi="Arial" w:eastAsia="Arial"/>
          <w:color w:val="1F2937"/>
          <w:sz w:val="19"/>
        </w:rPr>
        <w:t>Pago, abono, compensación, novación, refinanciación, acuerdo, condonación o subrogación.</w:t>
      </w:r>
    </w:p>
    <w:p>
      <w:pPr>
        <w:pStyle w:val="ListBullet"/>
        <w:spacing w:after="52" w:line="259" w:lineRule="auto"/>
        <w:ind w:left="312" w:hanging="142"/>
        <w:keepLines w:val="1"/>
        <w:widowControl w:val="1"/>
      </w:pPr>
      <w:r>
        <w:rPr>
          <w:rFonts w:ascii="Arial" w:hAnsi="Arial" w:eastAsia="Arial"/>
          <w:color w:val="1F2937"/>
          <w:sz w:val="19"/>
        </w:rPr>
        <w:t>Prescripción, aceleración inválida, mora inexistente o petición anticipada.</w:t>
      </w:r>
    </w:p>
    <w:p>
      <w:pPr>
        <w:pStyle w:val="ListBullet"/>
        <w:spacing w:after="52" w:line="259" w:lineRule="auto"/>
        <w:ind w:left="312" w:hanging="142"/>
        <w:keepLines w:val="1"/>
        <w:widowControl w:val="1"/>
      </w:pPr>
      <w:r>
        <w:rPr>
          <w:rFonts w:ascii="Arial" w:hAnsi="Arial" w:eastAsia="Arial"/>
          <w:color w:val="1F2937"/>
          <w:sz w:val="19"/>
        </w:rPr>
        <w:t>Intereses excesivos, superpuestos, capitalizados, tasa errónea o liquidación opaca.</w:t>
      </w:r>
    </w:p>
    <w:p>
      <w:pPr>
        <w:pStyle w:val="ListBullet"/>
        <w:spacing w:after="52" w:line="259" w:lineRule="auto"/>
        <w:ind w:left="312" w:hanging="142"/>
        <w:keepLines w:val="1"/>
        <w:widowControl w:val="1"/>
      </w:pPr>
      <w:r>
        <w:rPr>
          <w:rFonts w:ascii="Arial" w:hAnsi="Arial" w:eastAsia="Arial"/>
          <w:color w:val="1F2937"/>
          <w:sz w:val="19"/>
        </w:rPr>
        <w:t>Insolvencia, fallecimiento, sucesión, pacto arbitral o proceso previo.</w:t>
      </w:r>
    </w:p>
    <w:p>
      <w:pPr>
        <w:pStyle w:val="ListBullet"/>
        <w:spacing w:after="52" w:line="259" w:lineRule="auto"/>
        <w:ind w:left="312" w:hanging="142"/>
        <w:keepLines w:val="1"/>
        <w:widowControl w:val="1"/>
      </w:pPr>
      <w:r>
        <w:rPr>
          <w:rFonts w:ascii="Arial" w:hAnsi="Arial" w:eastAsia="Arial"/>
          <w:color w:val="1F2937"/>
          <w:sz w:val="19"/>
        </w:rPr>
        <w:t>Notificación defectuosa, correo sin fuente, juramento indebido o anexos incompletos.</w:t>
      </w:r>
    </w:p>
    <w:p>
      <w:pPr>
        <w:pStyle w:val="ListBullet"/>
        <w:spacing w:after="52" w:line="259" w:lineRule="auto"/>
        <w:ind w:left="312" w:hanging="142"/>
        <w:keepLines w:val="1"/>
        <w:widowControl w:val="1"/>
      </w:pPr>
      <w:r>
        <w:rPr>
          <w:rFonts w:ascii="Arial" w:hAnsi="Arial" w:eastAsia="Arial"/>
          <w:color w:val="1F2937"/>
          <w:sz w:val="19"/>
        </w:rPr>
        <w:t>Exceso, inembargabilidad, falta de individualización o abuso cautelar.</w:t>
      </w:r>
    </w:p>
    <w:p>
      <w:pPr>
        <w:spacing w:before="140" w:after="60" w:line="240" w:lineRule="auto"/>
        <w:keepLines w:val="1"/>
        <w:widowControl w:val="1"/>
        <w:keepNext w:val="1"/>
      </w:pPr>
      <w:r>
        <w:rPr>
          <w:rFonts w:ascii="Arial" w:hAnsi="Arial" w:eastAsia="Arial"/>
          <w:b/>
          <w:color w:val="17365D"/>
          <w:sz w:val="21"/>
        </w:rPr>
        <w:t>C. Consistencia transversal</w:t>
      </w:r>
    </w:p>
    <w:tbl>
      <w:tblPr>
        <w:tblStyle w:val="TableGrid"/>
        <w:tblW w:type="auto" w:w="0"/>
        <w:jc w:val="center"/>
        <w:tblLayout w:type="autofit"/>
        <w:tblLook w:firstColumn="1" w:firstRow="1" w:lastColumn="0" w:lastRow="0" w:noHBand="0" w:noVBand="1" w:val="04A0"/>
      </w:tblPr>
      <w:tblGrid>
        <w:gridCol w:w="2394"/>
        <w:gridCol w:w="2394"/>
        <w:gridCol w:w="2394"/>
        <w:gridCol w:w="2394"/>
      </w:tblGrid>
      <w:tr>
        <w:trPr>
          <w:tblHeader w:val="true"/>
          <w:cantSplit/>
        </w:trPr>
        <w:tc>
          <w:tcPr>
            <w:tcW w:type="dxa" w:w="3515"/>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Control</w:t>
            </w:r>
          </w:p>
        </w:tc>
        <w:tc>
          <w:tcPr>
            <w:tcW w:type="dxa" w:w="1020"/>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Sí / No</w:t>
            </w:r>
          </w:p>
        </w:tc>
        <w:tc>
          <w:tcPr>
            <w:tcW w:type="dxa" w:w="2268"/>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Hallazgo</w:t>
            </w:r>
          </w:p>
        </w:tc>
        <w:tc>
          <w:tcPr>
            <w:tcW w:type="dxa" w:w="255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Corrección / soporte</w:t>
            </w:r>
          </w:p>
        </w:tc>
      </w:tr>
      <w:tr>
        <w:trPr>
          <w:cantSplit/>
        </w:trPr>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Partes e identificaciones coinciden</w:t>
            </w:r>
          </w:p>
        </w:tc>
        <w:tc>
          <w:tcPr>
            <w:tcW w:type="dxa" w:w="10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Poder, certificado y firma coinciden</w:t>
            </w:r>
          </w:p>
        </w:tc>
        <w:tc>
          <w:tcPr>
            <w:tcW w:type="dxa" w:w="10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Título y carta coinciden</w:t>
            </w:r>
          </w:p>
        </w:tc>
        <w:tc>
          <w:tcPr>
            <w:tcW w:type="dxa" w:w="10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Vencimiento y mora coinciden</w:t>
            </w:r>
          </w:p>
        </w:tc>
        <w:tc>
          <w:tcPr>
            <w:tcW w:type="dxa" w:w="10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Capital y liquidación coinciden</w:t>
            </w:r>
          </w:p>
        </w:tc>
        <w:tc>
          <w:tcPr>
            <w:tcW w:type="dxa" w:w="10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Intereses no se superponen</w:t>
            </w:r>
          </w:p>
        </w:tc>
        <w:tc>
          <w:tcPr>
            <w:tcW w:type="dxa" w:w="10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Competencia y cuantía están probadas</w:t>
            </w:r>
          </w:p>
        </w:tc>
        <w:tc>
          <w:tcPr>
            <w:tcW w:type="dxa" w:w="10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Arbitraje fue descartado o gestionado</w:t>
            </w:r>
          </w:p>
        </w:tc>
        <w:tc>
          <w:tcPr>
            <w:tcW w:type="dxa" w:w="10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Insolvencia fue verificada</w:t>
            </w:r>
          </w:p>
        </w:tc>
        <w:tc>
          <w:tcPr>
            <w:tcW w:type="dxa" w:w="10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Canal digital tiene fuente</w:t>
            </w:r>
          </w:p>
        </w:tc>
        <w:tc>
          <w:tcPr>
            <w:tcW w:type="dxa" w:w="10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Anexos anunciados están adjuntos</w:t>
            </w:r>
          </w:p>
        </w:tc>
        <w:tc>
          <w:tcPr>
            <w:tcW w:type="dxa" w:w="10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Cautelas están individualizadas</w:t>
            </w:r>
          </w:p>
        </w:tc>
        <w:tc>
          <w:tcPr>
            <w:tcW w:type="dxa" w:w="10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No hay datos de otro expediente</w:t>
            </w:r>
          </w:p>
        </w:tc>
        <w:tc>
          <w:tcPr>
            <w:tcW w:type="dxa" w:w="10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t>Norma y ratio están verificadas</w:t>
            </w:r>
          </w:p>
        </w:tc>
        <w:tc>
          <w:tcPr>
            <w:tcW w:type="dxa" w:w="10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4"/>
              </w:rPr>
            </w:r>
          </w:p>
        </w:tc>
      </w:tr>
      <w:tr>
        <w:trPr>
          <w:cantSplit/>
        </w:trPr>
        <w:tc>
          <w:tcPr>
            <w:tcW w:type="dxa" w:w="351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t>Documento final conserva formato</w:t>
            </w:r>
          </w:p>
        </w:tc>
        <w:tc>
          <w:tcPr>
            <w:tcW w:type="dxa" w:w="10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268"/>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4"/>
              </w:rPr>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20. SALIDA OBLIGATORIA Y SEMÁFORO</w:t>
      </w:r>
    </w:p>
    <w:tbl>
      <w:tblPr>
        <w:tblStyle w:val="TableGrid"/>
        <w:tblW w:type="auto" w:w="0"/>
        <w:jc w:val="center"/>
        <w:tblLayout w:type="autofit"/>
        <w:tblLook w:firstColumn="1" w:firstRow="1" w:lastColumn="0" w:lastRow="0" w:noHBand="0" w:noVBand="1" w:val="04A0"/>
      </w:tblPr>
      <w:tblGrid>
        <w:gridCol w:w="4788"/>
        <w:gridCol w:w="4788"/>
      </w:tblGrid>
      <w:tr>
        <w:trPr>
          <w:tblHeader w:val="true"/>
          <w:cantSplit/>
        </w:trPr>
        <w:tc>
          <w:tcPr>
            <w:tcW w:type="dxa" w:w="2835"/>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Entregable</w:t>
            </w:r>
          </w:p>
        </w:tc>
        <w:tc>
          <w:tcPr>
            <w:tcW w:type="dxa" w:w="6520"/>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Contenido</w:t>
            </w:r>
          </w:p>
        </w:tc>
      </w:tr>
      <w:tr>
        <w:trPr>
          <w:cantSplit/>
        </w:trPr>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1. Informe de viabilidad</w:t>
            </w:r>
          </w:p>
        </w:tc>
        <w:tc>
          <w:tcPr>
            <w:tcW w:type="dxa" w:w="65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Acción, título, fecha de corte, gates y riesgos.</w:t>
            </w:r>
          </w:p>
        </w:tc>
      </w:tr>
      <w:tr>
        <w:trPr>
          <w:cantSplit/>
        </w:trPr>
        <w:tc>
          <w:tcPr>
            <w:tcW w:type="dxa" w:w="283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2. Matriz dato–soporte</w:t>
            </w:r>
          </w:p>
        </w:tc>
        <w:tc>
          <w:tcPr>
            <w:tcW w:type="dxa" w:w="65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Campo, valor, archivo, página y certeza.</w:t>
            </w:r>
          </w:p>
        </w:tc>
      </w:tr>
      <w:tr>
        <w:trPr>
          <w:cantSplit/>
        </w:trPr>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3. Faltantes bloqueantes</w:t>
            </w:r>
          </w:p>
        </w:tc>
        <w:tc>
          <w:tcPr>
            <w:tcW w:type="dxa" w:w="65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Un solo requerimiento consolidado.</w:t>
            </w:r>
          </w:p>
        </w:tc>
      </w:tr>
      <w:tr>
        <w:trPr>
          <w:cantSplit/>
        </w:trPr>
        <w:tc>
          <w:tcPr>
            <w:tcW w:type="dxa" w:w="283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4. Alertas estratégicas</w:t>
            </w:r>
          </w:p>
        </w:tc>
        <w:tc>
          <w:tcPr>
            <w:tcW w:type="dxa" w:w="65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Decisiones no bloqueantes de Dirección Jurídica.</w:t>
            </w:r>
          </w:p>
        </w:tc>
      </w:tr>
      <w:tr>
        <w:trPr>
          <w:cantSplit/>
        </w:trPr>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5. Demanda diligenciada</w:t>
            </w:r>
          </w:p>
        </w:tc>
        <w:tc>
          <w:tcPr>
            <w:tcW w:type="dxa" w:w="65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Plantilla v2.0 intacta; solo si no existen bloqueos.</w:t>
            </w:r>
          </w:p>
        </w:tc>
      </w:tr>
      <w:tr>
        <w:trPr>
          <w:cantSplit/>
        </w:trPr>
        <w:tc>
          <w:tcPr>
            <w:tcW w:type="dxa" w:w="283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6. Cautelar diligenciada</w:t>
            </w:r>
          </w:p>
        </w:tc>
        <w:tc>
          <w:tcPr>
            <w:tcW w:type="dxa" w:w="65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Escrito separado; módulos evidenciados y límites.</w:t>
            </w:r>
          </w:p>
        </w:tc>
      </w:tr>
      <w:tr>
        <w:trPr>
          <w:cantSplit/>
        </w:trPr>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7. Índice de anexos</w:t>
            </w:r>
          </w:p>
        </w:tc>
        <w:tc>
          <w:tcPr>
            <w:tcW w:type="dxa" w:w="65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Orden, nombre exacto, páginas y descripción.</w:t>
            </w:r>
          </w:p>
        </w:tc>
      </w:tr>
      <w:tr>
        <w:trPr>
          <w:cantSplit/>
        </w:trPr>
        <w:tc>
          <w:tcPr>
            <w:tcW w:type="dxa" w:w="283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8. Memoria de liquidación</w:t>
            </w:r>
          </w:p>
        </w:tc>
        <w:tc>
          <w:tcPr>
            <w:tcW w:type="dxa" w:w="65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Cálculo reproducible, tasas y fuentes por período.</w:t>
            </w:r>
          </w:p>
        </w:tc>
      </w:tr>
      <w:tr>
        <w:trPr>
          <w:cantSplit/>
        </w:trPr>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9. Acta de control final</w:t>
            </w:r>
          </w:p>
        </w:tc>
        <w:tc>
          <w:tcPr>
            <w:tcW w:type="dxa" w:w="652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Gates, juez/defensa, consistencia y aprobación.</w:t>
            </w:r>
          </w:p>
        </w:tc>
      </w:tr>
      <w:tr>
        <w:trPr>
          <w:cantSplit/>
        </w:trPr>
        <w:tc>
          <w:tcPr>
            <w:tcW w:type="dxa" w:w="283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10. Agenda de seguimiento</w:t>
            </w:r>
          </w:p>
        </w:tc>
        <w:tc>
          <w:tcPr>
            <w:tcW w:type="dxa" w:w="652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Cautelas, notificación, art. 94, art. 317 y pagos.</w:t>
            </w:r>
          </w:p>
        </w:tc>
      </w:tr>
    </w:tbl>
    <w:p>
      <w:pPr>
        <w:spacing w:before="0" w:after="0" w:line="240" w:lineRule="auto"/>
        <w:keepLines w:val="1"/>
        <w:widowControl w:val="1"/>
      </w:pPr>
    </w:p>
    <w:p>
      <w:pPr>
        <w:spacing w:before="140" w:after="60" w:line="240" w:lineRule="auto"/>
      </w:pPr>
      <w:r>
        <w:rPr>
          <w:rFonts w:ascii="Arial" w:hAnsi="Arial"/>
          <w:b/>
          <w:color w:val="17365D"/>
          <w:sz w:val="21"/>
        </w:rPr>
        <w:t>Semáforo de salida</w:t>
      </w:r>
    </w:p>
    <w:tbl>
      <w:tblPr>
        <w:tblStyle w:val="TableGrid"/>
        <w:tblW w:type="auto" w:w="0"/>
        <w:jc w:val="center"/>
        <w:tblLayout w:type="autofit"/>
        <w:tblLook w:firstColumn="1" w:firstRow="1" w:lastColumn="0" w:lastRow="0" w:noHBand="0" w:noVBand="1" w:val="04A0"/>
      </w:tblPr>
      <w:tblGrid>
        <w:gridCol w:w="3192"/>
        <w:gridCol w:w="3192"/>
        <w:gridCol w:w="3192"/>
      </w:tblGrid>
      <w:tr>
        <w:trPr>
          <w:tblHeader w:val="true"/>
          <w:cantSplit/>
        </w:trPr>
        <w:tc>
          <w:tcPr>
            <w:tcW w:type="dxa" w:w="255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Estado</w:t>
            </w:r>
          </w:p>
        </w:tc>
        <w:tc>
          <w:tcPr>
            <w:tcW w:type="dxa" w:w="3969"/>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Significado</w:t>
            </w:r>
          </w:p>
        </w:tc>
        <w:tc>
          <w:tcPr>
            <w:tcW w:type="dxa" w:w="2835"/>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Acción</w:t>
            </w:r>
          </w:p>
        </w:tc>
      </w:tr>
      <w:tr>
        <w:trPr>
          <w:cantSplit/>
        </w:trPr>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ROJO · NO APTO</w:t>
            </w:r>
          </w:p>
        </w:tc>
        <w:tc>
          <w:tcPr>
            <w:tcW w:type="dxa" w:w="3969"/>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Falta soporte esencial, la vía es improcedente o existe contradicción crítica.</w:t>
            </w:r>
          </w:p>
        </w:tc>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No producir versión para firma.</w:t>
            </w:r>
          </w:p>
        </w:tc>
      </w:tr>
      <w:tr>
        <w:trPr>
          <w:cantSplit/>
        </w:trPr>
        <w:tc>
          <w:tcPr>
            <w:tcW w:type="dxa" w:w="255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AMARILLO · APTO CON CORRECCIONES</w:t>
            </w:r>
          </w:p>
        </w:tc>
        <w:tc>
          <w:tcPr>
            <w:tcW w:type="dxa" w:w="3969"/>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La acción puede ser viable, pero faltan ajustes o decisión interna.</w:t>
            </w:r>
          </w:p>
        </w:tc>
        <w:tc>
          <w:tcPr>
            <w:tcW w:type="dxa" w:w="283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6"/>
              </w:rPr>
              <w:t>Entregar borrador marcado y lista cerrada.</w:t>
            </w:r>
          </w:p>
        </w:tc>
      </w:tr>
      <w:tr>
        <w:trPr>
          <w:cantSplit/>
        </w:trPr>
        <w:tc>
          <w:tcPr>
            <w:tcW w:type="dxa" w:w="255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VERDE · APTO PARA REVISIÓN Y FIRMA HUMANA</w:t>
            </w:r>
          </w:p>
        </w:tc>
        <w:tc>
          <w:tcPr>
            <w:tcW w:type="dxa" w:w="3969"/>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Todos los gates superados con evidencia y control vigente.</w:t>
            </w:r>
          </w:p>
        </w:tc>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6"/>
              </w:rPr>
              <w:t>Entregar Word limpio; revisión y firma profesional.</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21. FORMA ÚNICA DE SOLICITAR FALTANTES</w:t>
      </w:r>
    </w:p>
    <w:p>
      <w:pPr>
        <w:spacing w:before="0" w:after="100" w:line="269" w:lineRule="auto"/>
        <w:keepLines w:val="1"/>
        <w:widowControl w:val="1"/>
      </w:pPr>
      <w:r>
        <w:rPr>
          <w:rFonts w:ascii="Arial" w:hAnsi="Arial" w:eastAsia="Arial"/>
          <w:i w:val="0"/>
          <w:color w:val="1F2937"/>
          <w:sz w:val="20"/>
        </w:rPr>
        <w:t>No hacer preguntas fragmentadas. Emitir una sola comunicación que identifique exactamente el soporte y la consecuencia:</w:t>
      </w:r>
    </w:p>
    <w:tbl>
      <w:tblPr>
        <w:tblStyle w:val="TableGrid"/>
        <w:tblW w:type="auto" w:w="0"/>
        <w:jc w:val="center"/>
        <w:tblLayout w:type="autofit"/>
        <w:tblLook w:firstColumn="1" w:firstRow="1" w:lastColumn="0" w:lastRow="0" w:noHBand="0" w:noVBand="1" w:val="04A0"/>
      </w:tblPr>
      <w:tblGrid>
        <w:gridCol w:w="1915"/>
        <w:gridCol w:w="1915"/>
        <w:gridCol w:w="1915"/>
        <w:gridCol w:w="1915"/>
        <w:gridCol w:w="1915"/>
      </w:tblGrid>
      <w:tr>
        <w:trPr>
          <w:tblHeader w:val="true"/>
          <w:cantSplit/>
        </w:trPr>
        <w:tc>
          <w:tcPr>
            <w:tcW w:type="dxa" w:w="680"/>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N.º</w:t>
            </w:r>
          </w:p>
        </w:tc>
        <w:tc>
          <w:tcPr>
            <w:tcW w:type="dxa" w:w="2835"/>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Documento o dato exacto</w:t>
            </w:r>
          </w:p>
        </w:tc>
        <w:tc>
          <w:tcPr>
            <w:tcW w:type="dxa" w:w="272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Finalidad</w:t>
            </w:r>
          </w:p>
        </w:tc>
        <w:tc>
          <w:tcPr>
            <w:tcW w:type="dxa" w:w="215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Sección afectada</w:t>
            </w:r>
          </w:p>
        </w:tc>
        <w:tc>
          <w:tcPr>
            <w:tcW w:type="dxa" w:w="113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¿Bloquea?</w:t>
            </w:r>
          </w:p>
        </w:tc>
      </w:tr>
      <w:tr>
        <w:trPr>
          <w:cantSplit/>
        </w:trPr>
        <w:tc>
          <w:tcPr>
            <w:tcW w:type="dxa" w:w="68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1</w:t>
            </w:r>
          </w:p>
        </w:tc>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72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15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Sí / No</w:t>
            </w:r>
          </w:p>
        </w:tc>
      </w:tr>
      <w:tr>
        <w:trPr>
          <w:cantSplit/>
        </w:trPr>
        <w:tc>
          <w:tcPr>
            <w:tcW w:type="dxa" w:w="68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2</w:t>
            </w:r>
          </w:p>
        </w:tc>
        <w:tc>
          <w:tcPr>
            <w:tcW w:type="dxa" w:w="283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72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15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113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Sí / No</w:t>
            </w:r>
          </w:p>
        </w:tc>
      </w:tr>
      <w:tr>
        <w:trPr>
          <w:cantSplit/>
        </w:trPr>
        <w:tc>
          <w:tcPr>
            <w:tcW w:type="dxa" w:w="68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3</w:t>
            </w:r>
          </w:p>
        </w:tc>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72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15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Sí / No</w:t>
            </w:r>
          </w:p>
        </w:tc>
      </w:tr>
      <w:tr>
        <w:trPr>
          <w:cantSplit/>
        </w:trPr>
        <w:tc>
          <w:tcPr>
            <w:tcW w:type="dxa" w:w="680"/>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4</w:t>
            </w:r>
          </w:p>
        </w:tc>
        <w:tc>
          <w:tcPr>
            <w:tcW w:type="dxa" w:w="2835"/>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72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215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113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Sí / No</w:t>
            </w:r>
          </w:p>
        </w:tc>
      </w:tr>
      <w:tr>
        <w:trPr>
          <w:cantSplit/>
        </w:trPr>
        <w:tc>
          <w:tcPr>
            <w:tcW w:type="dxa" w:w="680"/>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5</w:t>
            </w:r>
          </w:p>
        </w:tc>
        <w:tc>
          <w:tcPr>
            <w:tcW w:type="dxa" w:w="2835"/>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72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215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Sí / No</w:t>
            </w:r>
          </w:p>
        </w:tc>
      </w:tr>
    </w:tbl>
    <w:p>
      <w:pPr>
        <w:spacing w:before="0" w:after="0" w:line="240" w:lineRule="auto"/>
        <w:keepLines w:val="1"/>
        <w:widowControl w:val="1"/>
      </w:pPr>
    </w:p>
    <w:tbl>
      <w:tblPr>
        <w:tblW w:type="auto" w:w="0"/>
        <w:jc w:val="center"/>
        <w:tblLayout w:type="autofit"/>
        <w:tblLook w:firstColumn="1" w:firstRow="1" w:lastColumn="0" w:lastRow="0" w:noHBand="0" w:noVBand="1" w:val="04A0"/>
      </w:tblPr>
      <w:tblGrid>
        <w:gridCol w:w="9576"/>
      </w:tblGrid>
      <w:tr>
        <w:trPr>
          <w:cantSplit/>
        </w:trPr>
        <w:tc>
          <w:tcPr>
            <w:tcW w:type="dxa" w:w="9576"/>
            <w:shd w:fill="EAF1F8"/>
            <w:tcMar>
              <w:top w:w="115" w:type="dxa"/>
              <w:start w:w="140" w:type="dxa"/>
              <w:bottom w:w="115" w:type="dxa"/>
              <w:end w:w="140" w:type="dxa"/>
            </w:tcMar>
          </w:tcPr>
          <w:p>
            <w:pPr>
              <w:spacing w:before="0" w:after="40" w:line="252" w:lineRule="auto"/>
              <w:keepLines w:val="1"/>
              <w:widowControl w:val="1"/>
            </w:pPr>
            <w:r>
              <w:rPr>
                <w:rFonts w:ascii="Arial" w:hAnsi="Arial" w:eastAsia="Arial"/>
                <w:b/>
                <w:color w:val="17365D"/>
                <w:sz w:val="19"/>
              </w:rPr>
              <w:t>EJEMPLO CORRECTO</w:t>
            </w:r>
          </w:p>
          <w:p>
            <w:pPr>
              <w:spacing w:before="0" w:after="0" w:line="259" w:lineRule="auto"/>
              <w:keepLines w:val="1"/>
              <w:widowControl w:val="1"/>
            </w:pPr>
            <w:r>
              <w:rPr>
                <w:rFonts w:ascii="Arial" w:hAnsi="Arial" w:eastAsia="Arial"/>
                <w:color w:val="1F2937"/>
                <w:sz w:val="19"/>
              </w:rPr>
              <w:t>“Aportar el mensaje original mediante el cual CREARCOOP confirió el poder, con remitente, destinatario, fecha y adjunto, porque sin esa trazabilidad no puede verificarse el artículo 5 de la Ley 2213 ni la personería. Bloquea: sí.”</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22. NOMENCLATURA Y CONTROL DEL EXPEDIENTE</w:t>
      </w:r>
    </w:p>
    <w:p>
      <w:pPr>
        <w:pStyle w:val="ListBullet"/>
        <w:spacing w:after="52" w:line="259" w:lineRule="auto"/>
        <w:ind w:left="312" w:hanging="142"/>
        <w:keepLines w:val="1"/>
        <w:widowControl w:val="1"/>
      </w:pPr>
      <w:r>
        <w:rPr>
          <w:rFonts w:ascii="Arial" w:hAnsi="Arial" w:eastAsia="Arial"/>
          <w:color w:val="1F2937"/>
          <w:sz w:val="19"/>
        </w:rPr>
        <w:t>00_PROTOCOLO_CIVILISTA_CREARCOOP_2026.pdf/docx</w:t>
      </w:r>
    </w:p>
    <w:p>
      <w:pPr>
        <w:pStyle w:val="ListBullet"/>
        <w:spacing w:after="52" w:line="259" w:lineRule="auto"/>
        <w:ind w:left="312" w:hanging="142"/>
        <w:keepLines w:val="1"/>
        <w:widowControl w:val="1"/>
      </w:pPr>
      <w:r>
        <w:rPr>
          <w:rFonts w:ascii="Arial" w:hAnsi="Arial" w:eastAsia="Arial"/>
          <w:color w:val="1F2937"/>
          <w:sz w:val="19"/>
        </w:rPr>
        <w:t>01_FORMATO_DEMANDA_v2.0.docx</w:t>
      </w:r>
    </w:p>
    <w:p>
      <w:pPr>
        <w:pStyle w:val="ListBullet"/>
        <w:spacing w:after="52" w:line="259" w:lineRule="auto"/>
        <w:ind w:left="312" w:hanging="142"/>
        <w:keepLines w:val="1"/>
        <w:widowControl w:val="1"/>
      </w:pPr>
      <w:r>
        <w:rPr>
          <w:rFonts w:ascii="Arial" w:hAnsi="Arial" w:eastAsia="Arial"/>
          <w:color w:val="1F2937"/>
          <w:sz w:val="19"/>
        </w:rPr>
        <w:t>02_FORMATO_CAUTELAR_v2.0.docx</w:t>
      </w:r>
    </w:p>
    <w:p>
      <w:pPr>
        <w:pStyle w:val="ListBullet"/>
        <w:spacing w:after="52" w:line="259" w:lineRule="auto"/>
        <w:ind w:left="312" w:hanging="142"/>
        <w:keepLines w:val="1"/>
        <w:widowControl w:val="1"/>
      </w:pPr>
      <w:r>
        <w:rPr>
          <w:rFonts w:ascii="Arial" w:hAnsi="Arial" w:eastAsia="Arial"/>
          <w:color w:val="1F2937"/>
          <w:sz w:val="19"/>
        </w:rPr>
        <w:t>03_CERTIFICADO_CREARCOOP_AAAAMMDD.pdf</w:t>
      </w:r>
    </w:p>
    <w:p>
      <w:pPr>
        <w:pStyle w:val="ListBullet"/>
        <w:spacing w:after="52" w:line="259" w:lineRule="auto"/>
        <w:ind w:left="312" w:hanging="142"/>
        <w:keepLines w:val="1"/>
        <w:widowControl w:val="1"/>
      </w:pPr>
      <w:r>
        <w:rPr>
          <w:rFonts w:ascii="Arial" w:hAnsi="Arial" w:eastAsia="Arial"/>
          <w:color w:val="1F2937"/>
          <w:sz w:val="19"/>
        </w:rPr>
        <w:t>04_PODER_ESPECIAL.pdf</w:t>
      </w:r>
    </w:p>
    <w:p>
      <w:pPr>
        <w:pStyle w:val="ListBullet"/>
        <w:spacing w:after="52" w:line="259" w:lineRule="auto"/>
        <w:ind w:left="312" w:hanging="142"/>
        <w:keepLines w:val="1"/>
        <w:widowControl w:val="1"/>
      </w:pPr>
      <w:r>
        <w:rPr>
          <w:rFonts w:ascii="Arial" w:hAnsi="Arial" w:eastAsia="Arial"/>
          <w:color w:val="1F2937"/>
          <w:sz w:val="19"/>
        </w:rPr>
        <w:t>05_TRAZABILIDAD_PODER.eml/pdf</w:t>
      </w:r>
    </w:p>
    <w:p>
      <w:pPr>
        <w:pStyle w:val="ListBullet"/>
        <w:spacing w:after="52" w:line="259" w:lineRule="auto"/>
        <w:ind w:left="312" w:hanging="142"/>
        <w:keepLines w:val="1"/>
        <w:widowControl w:val="1"/>
      </w:pPr>
      <w:r>
        <w:rPr>
          <w:rFonts w:ascii="Arial" w:hAnsi="Arial" w:eastAsia="Arial"/>
          <w:color w:val="1F2937"/>
          <w:sz w:val="19"/>
        </w:rPr>
        <w:t>06_CERTIFICADO_ABOGADOS_EN_COLOMBIA_AAAAMMDD.pdf</w:t>
      </w:r>
    </w:p>
    <w:p>
      <w:pPr>
        <w:pStyle w:val="ListBullet"/>
        <w:spacing w:after="52" w:line="259" w:lineRule="auto"/>
        <w:ind w:left="312" w:hanging="142"/>
        <w:keepLines w:val="1"/>
        <w:widowControl w:val="1"/>
      </w:pPr>
      <w:r>
        <w:rPr>
          <w:rFonts w:ascii="Arial" w:hAnsi="Arial" w:eastAsia="Arial"/>
          <w:color w:val="1F2937"/>
          <w:sz w:val="19"/>
        </w:rPr>
        <w:t>07_ACREDITACION_ABOGADO_RNA.pdf</w:t>
      </w:r>
    </w:p>
    <w:p>
      <w:pPr>
        <w:pStyle w:val="ListBullet"/>
        <w:spacing w:after="52" w:line="259" w:lineRule="auto"/>
        <w:ind w:left="312" w:hanging="142"/>
        <w:keepLines w:val="1"/>
        <w:widowControl w:val="1"/>
      </w:pPr>
      <w:r>
        <w:rPr>
          <w:rFonts w:ascii="Arial" w:hAnsi="Arial" w:eastAsia="Arial"/>
          <w:color w:val="1F2937"/>
          <w:sz w:val="19"/>
        </w:rPr>
        <w:t>08_PAGARE_[NUMERO]_ANVERSO_REVERSO.pdf</w:t>
      </w:r>
    </w:p>
    <w:p>
      <w:pPr>
        <w:pStyle w:val="ListBullet"/>
        <w:spacing w:after="52" w:line="259" w:lineRule="auto"/>
        <w:ind w:left="312" w:hanging="142"/>
        <w:keepLines w:val="1"/>
        <w:widowControl w:val="1"/>
      </w:pPr>
      <w:r>
        <w:rPr>
          <w:rFonts w:ascii="Arial" w:hAnsi="Arial" w:eastAsia="Arial"/>
          <w:color w:val="1F2937"/>
          <w:sz w:val="19"/>
        </w:rPr>
        <w:t>09_CARTA_INSTRUCCIONES_[NUMERO].pdf</w:t>
      </w:r>
    </w:p>
    <w:p>
      <w:pPr>
        <w:pStyle w:val="ListBullet"/>
        <w:spacing w:after="52" w:line="259" w:lineRule="auto"/>
        <w:ind w:left="312" w:hanging="142"/>
        <w:keepLines w:val="1"/>
        <w:widowControl w:val="1"/>
      </w:pPr>
      <w:r>
        <w:rPr>
          <w:rFonts w:ascii="Arial" w:hAnsi="Arial" w:eastAsia="Arial"/>
          <w:color w:val="1F2937"/>
          <w:sz w:val="19"/>
        </w:rPr>
        <w:t>10_CONTRATO_SOLICITUD_CREDITO.pdf</w:t>
      </w:r>
    </w:p>
    <w:p>
      <w:pPr>
        <w:pStyle w:val="ListBullet"/>
        <w:spacing w:after="52" w:line="259" w:lineRule="auto"/>
        <w:ind w:left="312" w:hanging="142"/>
        <w:keepLines w:val="1"/>
        <w:widowControl w:val="1"/>
      </w:pPr>
      <w:r>
        <w:rPr>
          <w:rFonts w:ascii="Arial" w:hAnsi="Arial" w:eastAsia="Arial"/>
          <w:color w:val="1F2937"/>
          <w:sz w:val="19"/>
        </w:rPr>
        <w:t>11_DESEMBOLSO.pdf</w:t>
      </w:r>
    </w:p>
    <w:p>
      <w:pPr>
        <w:pStyle w:val="ListBullet"/>
        <w:spacing w:after="52" w:line="259" w:lineRule="auto"/>
        <w:ind w:left="312" w:hanging="142"/>
        <w:keepLines w:val="1"/>
        <w:widowControl w:val="1"/>
      </w:pPr>
      <w:r>
        <w:rPr>
          <w:rFonts w:ascii="Arial" w:hAnsi="Arial" w:eastAsia="Arial"/>
          <w:color w:val="1F2937"/>
          <w:sz w:val="19"/>
        </w:rPr>
        <w:t>12_ESTADO_CUENTA_CORTE_AAAAMMDD.pdf</w:t>
      </w:r>
    </w:p>
    <w:p>
      <w:pPr>
        <w:pStyle w:val="ListBullet"/>
        <w:spacing w:after="52" w:line="259" w:lineRule="auto"/>
        <w:ind w:left="312" w:hanging="142"/>
        <w:keepLines w:val="1"/>
        <w:widowControl w:val="1"/>
      </w:pPr>
      <w:r>
        <w:rPr>
          <w:rFonts w:ascii="Arial" w:hAnsi="Arial" w:eastAsia="Arial"/>
          <w:color w:val="1F2937"/>
          <w:sz w:val="19"/>
        </w:rPr>
        <w:t>13_LIQUIDACION_CORTE_AAAAMMDD.xlsx/pdf</w:t>
      </w:r>
    </w:p>
    <w:p>
      <w:pPr>
        <w:pStyle w:val="ListBullet"/>
        <w:spacing w:after="52" w:line="259" w:lineRule="auto"/>
        <w:ind w:left="312" w:hanging="142"/>
        <w:keepLines w:val="1"/>
        <w:widowControl w:val="1"/>
      </w:pPr>
      <w:r>
        <w:rPr>
          <w:rFonts w:ascii="Arial" w:hAnsi="Arial" w:eastAsia="Arial"/>
          <w:color w:val="1F2937"/>
          <w:sz w:val="19"/>
        </w:rPr>
        <w:t>14_IDENTIDAD_Y_NOTIFICACION_DEUDOR.pdf</w:t>
      </w:r>
    </w:p>
    <w:p>
      <w:pPr>
        <w:pStyle w:val="ListBullet"/>
        <w:spacing w:after="52" w:line="259" w:lineRule="auto"/>
        <w:ind w:left="312" w:hanging="142"/>
        <w:keepLines w:val="1"/>
        <w:widowControl w:val="1"/>
      </w:pPr>
      <w:r>
        <w:rPr>
          <w:rFonts w:ascii="Arial" w:hAnsi="Arial" w:eastAsia="Arial"/>
          <w:color w:val="1F2937"/>
          <w:sz w:val="19"/>
        </w:rPr>
        <w:t>15_SOPORTES_CAUTELARES.pdf</w:t>
      </w:r>
    </w:p>
    <w:p>
      <w:pPr>
        <w:pStyle w:val="ListBullet"/>
        <w:spacing w:after="52" w:line="259" w:lineRule="auto"/>
        <w:ind w:left="312" w:hanging="142"/>
        <w:keepLines w:val="1"/>
        <w:widowControl w:val="1"/>
      </w:pPr>
      <w:r>
        <w:rPr>
          <w:rFonts w:ascii="Arial" w:hAnsi="Arial" w:eastAsia="Arial"/>
          <w:color w:val="1F2937"/>
          <w:sz w:val="19"/>
        </w:rPr>
        <w:t>16_VERIFICACION_INSOLVENCIA_PROCESOS.pdf</w:t>
      </w:r>
    </w:p>
    <w:p>
      <w:pPr>
        <w:pStyle w:val="ListBullet"/>
        <w:spacing w:after="52" w:line="259" w:lineRule="auto"/>
        <w:ind w:left="312" w:hanging="142"/>
        <w:keepLines w:val="1"/>
        <w:widowControl w:val="1"/>
      </w:pPr>
      <w:r>
        <w:rPr>
          <w:rFonts w:ascii="Arial" w:hAnsi="Arial" w:eastAsia="Arial"/>
          <w:color w:val="1F2937"/>
          <w:sz w:val="19"/>
        </w:rPr>
        <w:t>17_DEMANDA_FINAL_AAAAMMDD.docx</w:t>
      </w:r>
    </w:p>
    <w:p>
      <w:pPr>
        <w:pStyle w:val="ListBullet"/>
        <w:spacing w:after="52" w:line="259" w:lineRule="auto"/>
        <w:ind w:left="312" w:hanging="142"/>
        <w:keepLines w:val="1"/>
        <w:widowControl w:val="1"/>
      </w:pPr>
      <w:r>
        <w:rPr>
          <w:rFonts w:ascii="Arial" w:hAnsi="Arial" w:eastAsia="Arial"/>
          <w:color w:val="1F2937"/>
          <w:sz w:val="19"/>
        </w:rPr>
        <w:t>18_CAUTELAR_FINAL_AAAAMMDD.docx</w:t>
      </w:r>
    </w:p>
    <w:p>
      <w:pPr>
        <w:pStyle w:val="ListBullet"/>
        <w:spacing w:after="52" w:line="259" w:lineRule="auto"/>
        <w:ind w:left="312" w:hanging="142"/>
        <w:keepLines w:val="1"/>
        <w:widowControl w:val="1"/>
      </w:pPr>
      <w:r>
        <w:rPr>
          <w:rFonts w:ascii="Arial" w:hAnsi="Arial" w:eastAsia="Arial"/>
          <w:color w:val="1F2937"/>
          <w:sz w:val="19"/>
        </w:rPr>
        <w:t>19_ACUSE_RADICACION.eml/pdf</w:t>
      </w:r>
    </w:p>
    <w:p>
      <w:pPr>
        <w:spacing w:before="0" w:after="100" w:line="269" w:lineRule="auto"/>
        <w:keepLines w:val="1"/>
        <w:widowControl w:val="1"/>
      </w:pPr>
      <w:r>
        <w:rPr>
          <w:rFonts w:ascii="Arial" w:hAnsi="Arial" w:eastAsia="Arial"/>
          <w:b/>
          <w:color w:val="1F2937"/>
          <w:sz w:val="20"/>
        </w:rPr>
        <w:t xml:space="preserve">Producto final: </w:t>
      </w:r>
      <w:r>
        <w:rPr>
          <w:rFonts w:ascii="Arial" w:hAnsi="Arial" w:eastAsia="Arial"/>
          <w:i w:val="0"/>
          <w:color w:val="1F2937"/>
          <w:sz w:val="20"/>
        </w:rPr>
        <w:t>Radicacion_Crearcoop_[DEUDOR]_[PAGARE]_[AAAAMMDD]_vFINAL</w:t>
      </w:r>
    </w:p>
    <w:p>
      <w:pPr>
        <w:spacing w:before="220" w:after="100" w:line="240" w:lineRule="auto"/>
        <w:keepLines w:val="1"/>
        <w:widowControl w:val="1"/>
        <w:pBdr>
          <w:bottom w:val="single" w:sz="8" w:space="3" w:color="C69A45"/>
        </w:pBdr>
        <w:keepNext w:val="1"/>
      </w:pPr>
      <w:r>
        <w:rPr>
          <w:rFonts w:ascii="Arial" w:hAnsi="Arial" w:eastAsia="Arial"/>
          <w:b/>
          <w:color w:val="17365D"/>
          <w:sz w:val="25"/>
        </w:rPr>
        <w:t>23. MATRIZ NORMATIVA DE CONTROL OBLIGATORIO</w:t>
      </w:r>
    </w:p>
    <w:tbl>
      <w:tblPr>
        <w:tblStyle w:val="TableGrid"/>
        <w:tblW w:type="auto" w:w="0"/>
        <w:jc w:val="center"/>
        <w:tblLayout w:type="autofit"/>
        <w:tblLook w:firstColumn="1" w:firstRow="1" w:lastColumn="0" w:lastRow="0" w:noHBand="0" w:noVBand="1" w:val="04A0"/>
      </w:tblPr>
      <w:tblGrid>
        <w:gridCol w:w="3192"/>
        <w:gridCol w:w="3192"/>
        <w:gridCol w:w="3192"/>
      </w:tblGrid>
      <w:tr>
        <w:trPr>
          <w:tblHeader w:val="true"/>
          <w:cantSplit/>
        </w:trPr>
        <w:tc>
          <w:tcPr>
            <w:tcW w:type="dxa" w:w="232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Fuente</w:t>
            </w:r>
          </w:p>
        </w:tc>
        <w:tc>
          <w:tcPr>
            <w:tcW w:type="dxa" w:w="3231"/>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Artículos / alcance</w:t>
            </w:r>
          </w:p>
        </w:tc>
        <w:tc>
          <w:tcPr>
            <w:tcW w:type="dxa" w:w="3742"/>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Control</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Constitución</w:t>
            </w:r>
          </w:p>
        </w:tc>
        <w:tc>
          <w:tcPr>
            <w:tcW w:type="dxa" w:w="323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Arts. 15, 29, 83, 116, 228–229</w:t>
            </w:r>
          </w:p>
        </w:tc>
        <w:tc>
          <w:tcPr>
            <w:tcW w:type="dxa" w:w="374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Datos, debido proceso, buena fe, jurisdicción y acceso.</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Código General del Proceso</w:t>
            </w:r>
          </w:p>
        </w:tc>
        <w:tc>
          <w:tcPr>
            <w:tcW w:type="dxa" w:w="323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Arts. 25–28, 75, 82–84, 90, 94, 298, 317, 422–431, 593–600</w:t>
            </w:r>
          </w:p>
        </w:tc>
        <w:tc>
          <w:tcPr>
            <w:tcW w:type="dxa" w:w="374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Cuantía, competencia, poder, demanda, prescripción, ejecutivo y cautelas.</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Código de Comercio</w:t>
            </w:r>
          </w:p>
        </w:tc>
        <w:tc>
          <w:tcPr>
            <w:tcW w:type="dxa" w:w="323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Arts. 619–622, 709–711, 780–793, 884 y 886</w:t>
            </w:r>
          </w:p>
        </w:tc>
        <w:tc>
          <w:tcPr>
            <w:tcW w:type="dxa" w:w="374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Título valor, pagaré, acción cambiaria, prescripción e intereses.</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Ley 2213 de 2022</w:t>
            </w:r>
          </w:p>
        </w:tc>
        <w:tc>
          <w:tcPr>
            <w:tcW w:type="dxa" w:w="323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Arts. 3, 5, 6 y 8</w:t>
            </w:r>
          </w:p>
        </w:tc>
        <w:tc>
          <w:tcPr>
            <w:tcW w:type="dxa" w:w="374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Poder, demanda digital, excepción al envío previo y notificación.</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Ley 2220 de 2022</w:t>
            </w:r>
          </w:p>
        </w:tc>
        <w:tc>
          <w:tcPr>
            <w:tcW w:type="dxa" w:w="323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Arts. 67.3 y 68; Decreto 0042 de 2026 en lo pertinente</w:t>
            </w:r>
          </w:p>
        </w:tc>
        <w:tc>
          <w:tcPr>
            <w:tcW w:type="dxa" w:w="374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No conciliación por cautelas y requisito civil declarativo.</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Código Sustantivo del Trabajo</w:t>
            </w:r>
          </w:p>
        </w:tc>
        <w:tc>
          <w:tcPr>
            <w:tcW w:type="dxa" w:w="323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Arts. 154–156</w:t>
            </w:r>
          </w:p>
        </w:tc>
        <w:tc>
          <w:tcPr>
            <w:tcW w:type="dxa" w:w="374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Inembargabilidad y excepción salarial cooperativa.</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Ley 100 de 1993</w:t>
            </w:r>
          </w:p>
        </w:tc>
        <w:tc>
          <w:tcPr>
            <w:tcW w:type="dxa" w:w="323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Art. 134 y régimen especial aplicable</w:t>
            </w:r>
          </w:p>
        </w:tc>
        <w:tc>
          <w:tcPr>
            <w:tcW w:type="dxa" w:w="374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Inembargabilidad y excepciones pensionales.</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Ley 2540 de 2025</w:t>
            </w:r>
          </w:p>
        </w:tc>
        <w:tc>
          <w:tcPr>
            <w:tcW w:type="dxa" w:w="323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Arts. 2, 4, 5, 31–32 y 40</w:t>
            </w:r>
          </w:p>
        </w:tc>
        <w:tc>
          <w:tcPr>
            <w:tcW w:type="dxa" w:w="374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Arbitraje ejecutivo, consumidor, cautelas y vigencia.</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Ley 2445 de 2025</w:t>
            </w:r>
          </w:p>
        </w:tc>
        <w:tc>
          <w:tcPr>
            <w:tcW w:type="dxa" w:w="323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Título IV del CGP modificado; Decreto 1136 de 2025</w:t>
            </w:r>
          </w:p>
        </w:tc>
        <w:tc>
          <w:tcPr>
            <w:tcW w:type="dxa" w:w="374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Insolvencia de persona natural y pequeña comerciante.</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Ley 1116 de 2006</w:t>
            </w:r>
          </w:p>
        </w:tc>
        <w:tc>
          <w:tcPr>
            <w:tcW w:type="dxa" w:w="323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Arts. 20, 50, 70 y concordantes</w:t>
            </w:r>
          </w:p>
        </w:tc>
        <w:tc>
          <w:tcPr>
            <w:tcW w:type="dxa" w:w="374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Reorganización, liquidación y garantes.</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Ley 1676 de 2013</w:t>
            </w:r>
          </w:p>
        </w:tc>
        <w:tc>
          <w:tcPr>
            <w:tcW w:type="dxa" w:w="323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Régimen aplicable</w:t>
            </w:r>
          </w:p>
        </w:tc>
        <w:tc>
          <w:tcPr>
            <w:tcW w:type="dxa" w:w="374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Garantías mobiliarias y mecanismos de ejecución.</w:t>
            </w:r>
          </w:p>
        </w:tc>
      </w:tr>
      <w:tr>
        <w:trPr>
          <w:cantSplit/>
        </w:trPr>
        <w:tc>
          <w:tcPr>
            <w:tcW w:type="dxa" w:w="232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Ley 1527 de 2012</w:t>
            </w:r>
          </w:p>
        </w:tc>
        <w:tc>
          <w:tcPr>
            <w:tcW w:type="dxa" w:w="3231"/>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Régimen aplicable</w:t>
            </w:r>
          </w:p>
        </w:tc>
        <w:tc>
          <w:tcPr>
            <w:tcW w:type="dxa" w:w="374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t>Libranza y descuento directo.</w:t>
            </w:r>
          </w:p>
        </w:tc>
      </w:tr>
      <w:tr>
        <w:trPr>
          <w:cantSplit/>
        </w:trPr>
        <w:tc>
          <w:tcPr>
            <w:tcW w:type="dxa" w:w="232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Leyes 1266 y 1581</w:t>
            </w:r>
          </w:p>
        </w:tc>
        <w:tc>
          <w:tcPr>
            <w:tcW w:type="dxa" w:w="3231"/>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Principios y excepciones aplicables</w:t>
            </w:r>
          </w:p>
        </w:tc>
        <w:tc>
          <w:tcPr>
            <w:tcW w:type="dxa" w:w="374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Datos crediticios, finalidad, calidad y seguridad.</w:t>
            </w:r>
          </w:p>
        </w:tc>
      </w:tr>
    </w:tbl>
    <w:p>
      <w:pPr>
        <w:spacing w:before="0" w:after="0" w:line="240" w:lineRule="auto"/>
        <w:keepLines w:val="1"/>
        <w:widowControl w:val="1"/>
      </w:pPr>
    </w:p>
    <w:p>
      <w:pPr>
        <w:spacing w:before="140" w:after="60" w:line="240" w:lineRule="auto"/>
        <w:keepLines w:val="1"/>
        <w:widowControl w:val="1"/>
        <w:keepNext w:val="1"/>
      </w:pPr>
      <w:r>
        <w:rPr>
          <w:rFonts w:ascii="Arial" w:hAnsi="Arial" w:eastAsia="Arial"/>
          <w:b/>
          <w:color w:val="17365D"/>
          <w:sz w:val="21"/>
        </w:rPr>
        <w:t>Fuentes oficiales de consulta</w:t>
      </w:r>
    </w:p>
    <w:p>
      <w:pPr>
        <w:pStyle w:val="ListBullet"/>
        <w:spacing w:after="52" w:line="259" w:lineRule="auto"/>
        <w:ind w:left="312" w:hanging="142"/>
        <w:keepLines w:val="1"/>
        <w:widowControl w:val="1"/>
      </w:pPr>
      <w:r>
        <w:rPr>
          <w:rFonts w:ascii="Arial" w:hAnsi="Arial" w:eastAsia="Arial"/>
          <w:color w:val="1F2937"/>
          <w:sz w:val="19"/>
        </w:rPr>
        <w:t>SUIN–Juriscol, Secretaría del Senado, Presidencia de la República y Función Pública – Gestor Normativo.</w:t>
      </w:r>
    </w:p>
    <w:p>
      <w:pPr>
        <w:pStyle w:val="ListBullet"/>
        <w:spacing w:after="52" w:line="259" w:lineRule="auto"/>
        <w:ind w:left="312" w:hanging="142"/>
        <w:keepLines w:val="1"/>
        <w:widowControl w:val="1"/>
      </w:pPr>
      <w:r>
        <w:rPr>
          <w:rFonts w:ascii="Arial" w:hAnsi="Arial" w:eastAsia="Arial"/>
          <w:color w:val="1F2937"/>
          <w:sz w:val="19"/>
        </w:rPr>
        <w:t>Rama Judicial, Consejo Superior de la Judicatura y relatorías oficiales de las altas cortes.</w:t>
      </w:r>
    </w:p>
    <w:p>
      <w:pPr>
        <w:pStyle w:val="ListBullet"/>
        <w:spacing w:after="52" w:line="259" w:lineRule="auto"/>
        <w:ind w:left="312" w:hanging="142"/>
        <w:keepLines w:val="1"/>
        <w:widowControl w:val="1"/>
      </w:pPr>
      <w:r>
        <w:rPr>
          <w:rFonts w:ascii="Arial" w:hAnsi="Arial" w:eastAsia="Arial"/>
          <w:color w:val="1F2937"/>
          <w:sz w:val="19"/>
        </w:rPr>
        <w:t>Superintendencia Financiera para certificaciones de interés y regulación del crédito.</w:t>
      </w:r>
    </w:p>
    <w:p>
      <w:pPr>
        <w:pStyle w:val="ListBullet"/>
        <w:spacing w:after="52" w:line="259" w:lineRule="auto"/>
        <w:ind w:left="312" w:hanging="142"/>
        <w:keepLines w:val="1"/>
        <w:widowControl w:val="1"/>
      </w:pPr>
      <w:r>
        <w:rPr>
          <w:rFonts w:ascii="Arial" w:hAnsi="Arial" w:eastAsia="Arial"/>
          <w:color w:val="1F2937"/>
          <w:sz w:val="19"/>
        </w:rPr>
        <w:t>Superintendencia de la Economía Solidaria para naturaleza, vigilancia y regulación de CREARCOOP.</w:t>
      </w:r>
    </w:p>
    <w:p>
      <w:pPr>
        <w:pStyle w:val="ListBullet"/>
        <w:spacing w:after="52" w:line="259" w:lineRule="auto"/>
        <w:ind w:left="312" w:hanging="142"/>
        <w:keepLines w:val="1"/>
        <w:widowControl w:val="1"/>
      </w:pPr>
      <w:r>
        <w:rPr>
          <w:rFonts w:ascii="Arial" w:hAnsi="Arial" w:eastAsia="Arial"/>
          <w:color w:val="1F2937"/>
          <w:sz w:val="19"/>
        </w:rPr>
        <w:t>Superintendencia de Sociedades y autoridades concursales para insolvencia empresarial.</w:t>
      </w:r>
    </w:p>
    <w:p>
      <w:pPr>
        <w:pStyle w:val="ListBullet"/>
        <w:spacing w:after="52" w:line="259" w:lineRule="auto"/>
        <w:ind w:left="312" w:hanging="142"/>
        <w:keepLines w:val="1"/>
        <w:widowControl w:val="1"/>
      </w:pPr>
      <w:r>
        <w:rPr>
          <w:rFonts w:ascii="Arial" w:hAnsi="Arial" w:eastAsia="Arial"/>
          <w:color w:val="1F2937"/>
          <w:sz w:val="19"/>
        </w:rPr>
        <w:t>RUES, cámaras de comercio, ORIP, RUNT y registros públicos competentes.</w:t>
      </w:r>
    </w:p>
    <w:p>
      <w:pPr>
        <w:pStyle w:val="ListBullet"/>
        <w:spacing w:after="52" w:line="259" w:lineRule="auto"/>
        <w:ind w:left="312" w:hanging="142"/>
        <w:keepLines w:val="1"/>
        <w:widowControl w:val="1"/>
      </w:pPr>
      <w:r>
        <w:rPr>
          <w:rFonts w:ascii="Arial" w:hAnsi="Arial" w:eastAsia="Arial"/>
          <w:color w:val="1F2937"/>
          <w:sz w:val="19"/>
        </w:rPr>
        <w:t>Registro Nacional de Abogados para tarjeta profesional y correo.</w:t>
      </w:r>
    </w:p>
    <w:p>
      <w:pPr>
        <w:pStyle w:val="ListBullet"/>
        <w:spacing w:after="52" w:line="259" w:lineRule="auto"/>
        <w:ind w:left="312" w:hanging="142"/>
        <w:keepLines w:val="1"/>
        <w:widowControl w:val="1"/>
      </w:pPr>
      <w:r>
        <w:rPr>
          <w:rFonts w:ascii="Arial" w:hAnsi="Arial" w:eastAsia="Arial"/>
          <w:color w:val="1F2937"/>
          <w:sz w:val="19"/>
        </w:rPr>
        <w:t>Canales oficiales del despacho, reparto y centro arbitral competente.</w:t>
      </w:r>
    </w:p>
    <w:tbl>
      <w:tblPr>
        <w:tblW w:type="auto" w:w="0"/>
        <w:jc w:val="center"/>
        <w:tblLayout w:type="autofit"/>
        <w:tblLook w:firstColumn="1" w:firstRow="1" w:lastColumn="0" w:lastRow="0" w:noHBand="0" w:noVBand="1" w:val="04A0"/>
      </w:tblPr>
      <w:tblGrid>
        <w:gridCol w:w="9576"/>
      </w:tblGrid>
      <w:tr>
        <w:trPr>
          <w:cantSplit/>
        </w:trPr>
        <w:tc>
          <w:tcPr>
            <w:tcW w:type="dxa" w:w="9576"/>
            <w:shd w:fill="FDECEC"/>
            <w:tcMar>
              <w:top w:w="115" w:type="dxa"/>
              <w:start w:w="140" w:type="dxa"/>
              <w:bottom w:w="115" w:type="dxa"/>
              <w:end w:w="140" w:type="dxa"/>
            </w:tcMar>
          </w:tcPr>
          <w:p>
            <w:pPr>
              <w:spacing w:before="0" w:after="40" w:line="252" w:lineRule="auto"/>
              <w:keepLines w:val="1"/>
              <w:widowControl w:val="1"/>
            </w:pPr>
            <w:r>
              <w:rPr>
                <w:rFonts w:ascii="Arial" w:hAnsi="Arial" w:eastAsia="Arial"/>
                <w:b/>
                <w:color w:val="A61B1B"/>
                <w:sz w:val="19"/>
              </w:rPr>
              <w:t>FUENTES DESCARTADAS COMO AUTORIDAD</w:t>
            </w:r>
          </w:p>
          <w:p>
            <w:pPr>
              <w:spacing w:before="0" w:after="0" w:line="259" w:lineRule="auto"/>
              <w:keepLines w:val="1"/>
              <w:widowControl w:val="1"/>
            </w:pPr>
            <w:r>
              <w:rPr>
                <w:rFonts w:ascii="Arial" w:hAnsi="Arial" w:eastAsia="Arial"/>
                <w:color w:val="1F2937"/>
                <w:sz w:val="19"/>
              </w:rPr>
              <w:t>Resultados de Google, blogs, leyes.co, modelos, resúmenes de IA, repositorios internos y doctrina no reemplazan la fuente oficial. Pueden orientar una búsqueda, pero nunca sustentar por sí solos una afirmación jurídica decisiva.</w:t>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24. ACTUALIZACIÓN, CONTROL DE CAMBIOS Y SEGUIMIENTO</w:t>
      </w:r>
    </w:p>
    <w:p>
      <w:pPr>
        <w:pStyle w:val="ListBullet"/>
        <w:spacing w:after="52" w:line="259" w:lineRule="auto"/>
        <w:ind w:left="312" w:hanging="142"/>
        <w:keepLines w:val="1"/>
        <w:widowControl w:val="1"/>
      </w:pPr>
      <w:r>
        <w:rPr>
          <w:rFonts w:ascii="Arial" w:hAnsi="Arial" w:eastAsia="Arial"/>
          <w:color w:val="1F2937"/>
          <w:sz w:val="19"/>
        </w:rPr>
        <w:t>Actualizar este protocolo cuando cambien el CGP, el Código de Comercio, la Ley 2213, la Ley 2220, el régimen de insolvencia, el arbitraje ejecutivo, las tasas, la cuantía, el firmante o las plantillas.</w:t>
      </w:r>
    </w:p>
    <w:p>
      <w:pPr>
        <w:pStyle w:val="ListBullet"/>
        <w:spacing w:after="52" w:line="259" w:lineRule="auto"/>
        <w:ind w:left="312" w:hanging="142"/>
        <w:keepLines w:val="1"/>
        <w:widowControl w:val="1"/>
      </w:pPr>
      <w:r>
        <w:rPr>
          <w:rFonts w:ascii="Arial" w:hAnsi="Arial" w:eastAsia="Arial"/>
          <w:color w:val="1F2937"/>
          <w:sz w:val="19"/>
        </w:rPr>
        <w:t>Revisar además al inicio de cada año y antes de toda radicación si existe reforma, sentencia de constitucionalidad, acuerdo del Consejo Superior o regulación local relevante.</w:t>
      </w:r>
    </w:p>
    <w:p>
      <w:pPr>
        <w:pStyle w:val="ListBullet"/>
        <w:spacing w:after="52" w:line="259" w:lineRule="auto"/>
        <w:ind w:left="312" w:hanging="142"/>
        <w:keepLines w:val="1"/>
        <w:widowControl w:val="1"/>
      </w:pPr>
      <w:r>
        <w:rPr>
          <w:rFonts w:ascii="Arial" w:hAnsi="Arial" w:eastAsia="Arial"/>
          <w:color w:val="1F2937"/>
          <w:sz w:val="19"/>
        </w:rPr>
        <w:t>Todo cambio debe identificar versión, fecha, autor, fuente, párrafo modificado, razón, riesgo y aprobador.</w:t>
      </w:r>
    </w:p>
    <w:p>
      <w:pPr>
        <w:pStyle w:val="ListBullet"/>
        <w:spacing w:after="52" w:line="259" w:lineRule="auto"/>
        <w:ind w:left="312" w:hanging="142"/>
        <w:keepLines w:val="1"/>
        <w:widowControl w:val="1"/>
      </w:pPr>
      <w:r>
        <w:rPr>
          <w:rFonts w:ascii="Arial" w:hAnsi="Arial" w:eastAsia="Arial"/>
          <w:color w:val="1F2937"/>
          <w:sz w:val="19"/>
        </w:rPr>
        <w:t>Conservar la versión anterior como archivo histórico, marcada “OBSOLETA – NO USAR”.</w:t>
      </w:r>
    </w:p>
    <w:p>
      <w:pPr>
        <w:pStyle w:val="ListBullet"/>
        <w:spacing w:after="52" w:line="259" w:lineRule="auto"/>
        <w:ind w:left="312" w:hanging="142"/>
        <w:keepLines w:val="1"/>
        <w:widowControl w:val="1"/>
      </w:pPr>
      <w:r>
        <w:rPr>
          <w:rFonts w:ascii="Arial" w:hAnsi="Arial" w:eastAsia="Arial"/>
          <w:color w:val="1F2937"/>
          <w:sz w:val="19"/>
        </w:rPr>
        <w:t>Después de radicar, registrar decreto y práctica de cautelas, fecha de mandamiento, notificación, excepciones, pagos, insolvencia sobreviniente, reducción de embargos y posible desistimiento tácito.</w:t>
      </w:r>
    </w:p>
    <w:tbl>
      <w:tblPr>
        <w:tblStyle w:val="TableGrid"/>
        <w:tblW w:type="auto" w:w="0"/>
        <w:jc w:val="center"/>
        <w:tblLayout w:type="autofit"/>
        <w:tblLook w:firstColumn="1" w:firstRow="1" w:lastColumn="0" w:lastRow="0" w:noHBand="0" w:noVBand="1" w:val="04A0"/>
      </w:tblPr>
      <w:tblGrid>
        <w:gridCol w:w="1915"/>
        <w:gridCol w:w="1915"/>
        <w:gridCol w:w="1915"/>
        <w:gridCol w:w="1915"/>
        <w:gridCol w:w="1915"/>
      </w:tblGrid>
      <w:tr>
        <w:trPr>
          <w:tblHeader w:val="true"/>
          <w:cantSplit/>
        </w:trPr>
        <w:tc>
          <w:tcPr>
            <w:tcW w:type="dxa" w:w="1134"/>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Versión</w:t>
            </w:r>
          </w:p>
        </w:tc>
        <w:tc>
          <w:tcPr>
            <w:tcW w:type="dxa" w:w="141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Fecha</w:t>
            </w:r>
          </w:p>
        </w:tc>
        <w:tc>
          <w:tcPr>
            <w:tcW w:type="dxa" w:w="4422"/>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Cambio</w:t>
            </w:r>
          </w:p>
        </w:tc>
        <w:tc>
          <w:tcPr>
            <w:tcW w:type="dxa" w:w="158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Fuente</w:t>
            </w:r>
          </w:p>
        </w:tc>
        <w:tc>
          <w:tcPr>
            <w:tcW w:type="dxa" w:w="1247"/>
            <w:shd w:fill="17365D"/>
            <w:tcMar>
              <w:top w:w="70" w:type="dxa"/>
              <w:start w:w="75" w:type="dxa"/>
              <w:bottom w:w="70" w:type="dxa"/>
              <w:end w:w="75" w:type="dxa"/>
            </w:tcMar>
            <w:vAlign w:val="center"/>
          </w:tcPr>
          <w:p>
            <w:pPr>
              <w:spacing w:before="0" w:after="0" w:line="240" w:lineRule="auto"/>
              <w:jc w:val="center"/>
              <w:keepLines w:val="1"/>
              <w:widowControl w:val="1"/>
            </w:pPr>
            <w:r>
              <w:rPr>
                <w:rFonts w:ascii="Arial" w:hAnsi="Arial" w:eastAsia="Arial"/>
                <w:b/>
                <w:color w:val="FFFFFF"/>
                <w:sz w:val="16"/>
              </w:rPr>
              <w:t>Aprobó</w:t>
            </w:r>
          </w:p>
        </w:tc>
      </w:tr>
      <w:tr>
        <w:trPr>
          <w:cantSplit/>
        </w:trPr>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2.0</w:t>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17/07/2026</w:t>
            </w:r>
          </w:p>
        </w:tc>
        <w:tc>
          <w:tcPr>
            <w:tcW w:type="dxa" w:w="442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Protocolo canónico autosuficiente; política fija de cautelas; conciliación, notificación, arbitraje e insolvencia actualizados.</w:t>
            </w:r>
          </w:p>
        </w:tc>
        <w:tc>
          <w:tcPr>
            <w:tcW w:type="dxa" w:w="158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t>Fuentes oficiales</w:t>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r>
      <w:tr>
        <w:trPr>
          <w:cantSplit/>
        </w:trPr>
        <w:tc>
          <w:tcPr>
            <w:tcW w:type="dxa" w:w="1134"/>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141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4422"/>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158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c>
          <w:tcPr>
            <w:tcW w:type="dxa" w:w="1247"/>
            <w:tcMar>
              <w:top w:w="65" w:type="dxa"/>
              <w:start w:w="75" w:type="dxa"/>
              <w:bottom w:w="65" w:type="dxa"/>
              <w:end w:w="75" w:type="dxa"/>
            </w:tcMar>
            <w:shd w:fill="F2F3F5"/>
            <w:vAlign w:val="top"/>
          </w:tcPr>
          <w:p>
            <w:pPr>
              <w:spacing w:before="0" w:after="0" w:line="245" w:lineRule="auto"/>
              <w:keepLines w:val="1"/>
              <w:widowControl w:val="1"/>
            </w:pPr>
            <w:r>
              <w:rPr>
                <w:rFonts w:ascii="Arial" w:hAnsi="Arial" w:eastAsia="Arial"/>
                <w:color w:val="1F2937"/>
                <w:sz w:val="15"/>
              </w:rPr>
            </w:r>
          </w:p>
        </w:tc>
      </w:tr>
      <w:tr>
        <w:trPr>
          <w:cantSplit/>
        </w:trPr>
        <w:tc>
          <w:tcPr>
            <w:tcW w:type="dxa" w:w="1134"/>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141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4422"/>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158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c>
          <w:tcPr>
            <w:tcW w:type="dxa" w:w="1247"/>
            <w:tcMar>
              <w:top w:w="65" w:type="dxa"/>
              <w:start w:w="75" w:type="dxa"/>
              <w:bottom w:w="65" w:type="dxa"/>
              <w:end w:w="75" w:type="dxa"/>
            </w:tcMar>
            <w:vAlign w:val="top"/>
          </w:tcPr>
          <w:p>
            <w:pPr>
              <w:spacing w:before="0" w:after="0" w:line="245" w:lineRule="auto"/>
              <w:keepLines w:val="1"/>
              <w:widowControl w:val="1"/>
            </w:pPr>
            <w:r>
              <w:rPr>
                <w:rFonts w:ascii="Arial" w:hAnsi="Arial" w:eastAsia="Arial"/>
                <w:color w:val="1F2937"/>
                <w:sz w:val="15"/>
              </w:rPr>
            </w:r>
          </w:p>
        </w:tc>
      </w:tr>
    </w:tbl>
    <w:p>
      <w:pPr>
        <w:spacing w:before="0" w:after="0" w:line="240" w:lineRule="auto"/>
        <w:keepLines w:val="1"/>
        <w:widowControl w:val="1"/>
      </w:pPr>
    </w:p>
    <w:p>
      <w:pPr>
        <w:spacing w:before="220" w:after="100" w:line="240" w:lineRule="auto"/>
        <w:keepLines w:val="1"/>
        <w:widowControl w:val="1"/>
        <w:pBdr>
          <w:bottom w:val="single" w:sz="8" w:space="3" w:color="C69A45"/>
        </w:pBdr>
        <w:keepNext w:val="1"/>
      </w:pPr>
      <w:r>
        <w:rPr>
          <w:rFonts w:ascii="Arial" w:hAnsi="Arial" w:eastAsia="Arial"/>
          <w:b/>
          <w:color w:val="17365D"/>
          <w:sz w:val="25"/>
        </w:rPr>
        <w:t>25. CERTIFICACIÓN FINAL DEL EXPEDIENTE</w:t>
      </w:r>
    </w:p>
    <w:p>
      <w:pPr>
        <w:spacing w:before="0" w:after="50" w:line="252" w:lineRule="auto"/>
        <w:keepLines w:val="1"/>
        <w:widowControl w:val="1"/>
      </w:pPr>
      <w:r>
        <w:rPr>
          <w:rFonts w:ascii="Arial" w:hAnsi="Arial" w:eastAsia="Arial"/>
          <w:i w:val="0"/>
          <w:color w:val="1F2937"/>
          <w:sz w:val="18"/>
        </w:rPr>
        <w:t>Expediente: _________________________________________________</w:t>
      </w:r>
    </w:p>
    <w:p>
      <w:pPr>
        <w:spacing w:before="0" w:after="50" w:line="252" w:lineRule="auto"/>
        <w:keepLines w:val="1"/>
        <w:widowControl w:val="1"/>
      </w:pPr>
      <w:r>
        <w:rPr>
          <w:rFonts w:ascii="Arial" w:hAnsi="Arial" w:eastAsia="Arial"/>
          <w:i w:val="0"/>
          <w:color w:val="1F2937"/>
          <w:sz w:val="18"/>
        </w:rPr>
        <w:t>Deudor(es): __________________________________________________</w:t>
      </w:r>
    </w:p>
    <w:p>
      <w:pPr>
        <w:spacing w:before="0" w:after="50" w:line="252" w:lineRule="auto"/>
        <w:keepLines w:val="1"/>
        <w:widowControl w:val="1"/>
      </w:pPr>
      <w:r>
        <w:rPr>
          <w:rFonts w:ascii="Arial" w:hAnsi="Arial" w:eastAsia="Arial"/>
          <w:i w:val="0"/>
          <w:color w:val="1F2937"/>
          <w:sz w:val="18"/>
        </w:rPr>
        <w:t>Pagaré / obligación: ___________________________________________</w:t>
      </w:r>
    </w:p>
    <w:p>
      <w:pPr>
        <w:spacing w:before="0" w:after="50" w:line="252" w:lineRule="auto"/>
        <w:keepLines w:val="1"/>
        <w:widowControl w:val="1"/>
      </w:pPr>
      <w:r>
        <w:rPr>
          <w:rFonts w:ascii="Arial" w:hAnsi="Arial" w:eastAsia="Arial"/>
          <w:i w:val="0"/>
          <w:color w:val="1F2937"/>
          <w:sz w:val="18"/>
        </w:rPr>
        <w:t>Corte contable: _______________________________________________</w:t>
      </w:r>
    </w:p>
    <w:p>
      <w:pPr>
        <w:spacing w:before="0" w:after="50" w:line="252" w:lineRule="auto"/>
        <w:keepLines w:val="1"/>
        <w:widowControl w:val="1"/>
      </w:pPr>
      <w:r>
        <w:rPr>
          <w:rFonts w:ascii="Arial" w:hAnsi="Arial" w:eastAsia="Arial"/>
          <w:i w:val="0"/>
          <w:color w:val="1F2937"/>
          <w:sz w:val="18"/>
        </w:rPr>
        <w:t>Corte normativo: ______________________________________________</w:t>
      </w:r>
    </w:p>
    <w:p>
      <w:pPr>
        <w:spacing w:before="0" w:after="50" w:line="252" w:lineRule="auto"/>
        <w:keepLines w:val="1"/>
        <w:widowControl w:val="1"/>
      </w:pPr>
      <w:r>
        <w:rPr>
          <w:rFonts w:ascii="Arial" w:hAnsi="Arial" w:eastAsia="Arial"/>
          <w:i w:val="0"/>
          <w:color w:val="1F2937"/>
          <w:sz w:val="18"/>
        </w:rPr>
        <w:t>Plantilla de demanda: v2.0  □     Plantilla cautelar: v2.0  □</w:t>
      </w:r>
    </w:p>
    <w:p>
      <w:pPr>
        <w:spacing w:before="0" w:after="50" w:line="252" w:lineRule="auto"/>
        <w:keepLines w:val="1"/>
        <w:widowControl w:val="1"/>
      </w:pPr>
      <w:r>
        <w:rPr>
          <w:rFonts w:ascii="Arial" w:hAnsi="Arial" w:eastAsia="Arial"/>
          <w:i w:val="0"/>
          <w:color w:val="1F2937"/>
          <w:sz w:val="18"/>
        </w:rPr>
        <w:t>Resultado:  □ ROJO     □ AMARILLO     □ VERDE PARA REVISIÓN HUMANA</w:t>
      </w:r>
    </w:p>
    <w:p>
      <w:pPr>
        <w:spacing w:before="0" w:after="50" w:line="252" w:lineRule="auto"/>
        <w:keepLines w:val="1"/>
        <w:widowControl w:val="1"/>
      </w:pPr>
      <w:r>
        <w:rPr>
          <w:rFonts w:ascii="Arial" w:hAnsi="Arial" w:eastAsia="Arial"/>
          <w:i w:val="0"/>
          <w:color w:val="1F2937"/>
          <w:sz w:val="18"/>
        </w:rPr>
        <w:t>Revisor jurídico: ______________________________________________</w:t>
      </w:r>
    </w:p>
    <w:p>
      <w:pPr>
        <w:spacing w:before="0" w:after="50" w:line="252" w:lineRule="auto"/>
        <w:keepLines w:val="1"/>
        <w:widowControl w:val="1"/>
      </w:pPr>
      <w:r>
        <w:rPr>
          <w:rFonts w:ascii="Arial" w:hAnsi="Arial" w:eastAsia="Arial"/>
          <w:i w:val="0"/>
          <w:color w:val="1F2937"/>
          <w:sz w:val="18"/>
        </w:rPr>
        <w:t>Firma y fecha: _________________________________________________</w:t>
      </w:r>
    </w:p>
    <w:tbl>
      <w:tblPr>
        <w:tblW w:type="auto" w:w="0"/>
        <w:jc w:val="center"/>
        <w:tblLayout w:type="autofit"/>
        <w:tblLook w:firstColumn="1" w:firstRow="1" w:lastColumn="0" w:lastRow="0" w:noHBand="0" w:noVBand="1" w:val="04A0"/>
      </w:tblPr>
      <w:tblGrid>
        <w:gridCol w:w="9576"/>
      </w:tblGrid>
      <w:tr>
        <w:trPr>
          <w:cantSplit/>
        </w:trPr>
        <w:tc>
          <w:tcPr>
            <w:tcW w:type="dxa" w:w="9576"/>
            <w:shd w:fill="F7F1E4"/>
            <w:tcMar>
              <w:top w:w="115" w:type="dxa"/>
              <w:start w:w="140" w:type="dxa"/>
              <w:bottom w:w="115" w:type="dxa"/>
              <w:end w:w="140" w:type="dxa"/>
            </w:tcMar>
          </w:tcPr>
          <w:p>
            <w:pPr>
              <w:spacing w:before="0" w:after="40" w:line="252" w:lineRule="auto"/>
              <w:keepLines w:val="1"/>
              <w:widowControl w:val="1"/>
            </w:pPr>
            <w:r>
              <w:rPr>
                <w:rFonts w:ascii="Arial" w:hAnsi="Arial" w:eastAsia="Arial"/>
                <w:b/>
                <w:color w:val="17365D"/>
                <w:sz w:val="19"/>
              </w:rPr>
              <w:t>DECLARACIÓN DEL REVISOR</w:t>
            </w:r>
          </w:p>
          <w:p>
            <w:pPr>
              <w:spacing w:before="0" w:after="0" w:line="259" w:lineRule="auto"/>
              <w:keepLines w:val="1"/>
              <w:widowControl w:val="1"/>
            </w:pPr>
            <w:r>
              <w:rPr>
                <w:rFonts w:ascii="Arial" w:hAnsi="Arial" w:eastAsia="Arial"/>
                <w:color w:val="1F2937"/>
                <w:sz w:val="19"/>
              </w:rPr>
              <w:t>Declaro que no se incorporó información inventada; que cada hecho y cifra crítica tiene soporte identificable; que se revisaron título, poder, legitimación, competencia, arbitraje, cuantía, exigibilidad, prescripción, insolvencia, intereses, notificación, anexos y cautelas; que las fuentes decisivas fueron verificadas oficialmente; y que el documento final conserva íntegramente las plantillas v2.0.</w:t>
            </w:r>
          </w:p>
        </w:tc>
      </w:tr>
    </w:tbl>
    <w:p>
      <w:pPr>
        <w:spacing w:before="0" w:after="0" w:line="240" w:lineRule="auto"/>
        <w:keepLines w:val="1"/>
        <w:widowControl w:val="1"/>
      </w:pPr>
    </w:p>
    <w:tbl>
      <w:tblPr>
        <w:tblW w:type="auto" w:w="0"/>
        <w:jc w:val="center"/>
        <w:tblLayout w:type="autofit"/>
        <w:tblLook w:firstColumn="1" w:firstRow="1" w:lastColumn="0" w:lastRow="0" w:noHBand="0" w:noVBand="1" w:val="04A0"/>
      </w:tblPr>
      <w:tblGrid>
        <w:gridCol w:w="9576"/>
      </w:tblGrid>
      <w:tr>
        <w:trPr>
          <w:cantSplit/>
        </w:trPr>
        <w:tc>
          <w:tcPr>
            <w:tcW w:type="dxa" w:w="9576"/>
            <w:shd w:fill="EAF6EE"/>
            <w:tcMar>
              <w:top w:w="115" w:type="dxa"/>
              <w:start w:w="140" w:type="dxa"/>
              <w:bottom w:w="115" w:type="dxa"/>
              <w:end w:w="140" w:type="dxa"/>
            </w:tcMar>
          </w:tcPr>
          <w:p>
            <w:pPr>
              <w:spacing w:before="0" w:after="40" w:line="252" w:lineRule="auto"/>
              <w:keepLines w:val="1"/>
              <w:widowControl w:val="1"/>
            </w:pPr>
            <w:r>
              <w:rPr>
                <w:rFonts w:ascii="Arial" w:hAnsi="Arial" w:eastAsia="Arial"/>
                <w:b/>
                <w:color w:val="216E39"/>
                <w:sz w:val="19"/>
              </w:rPr>
              <w:t>CIERRE DE RADICACIÓN</w:t>
            </w:r>
          </w:p>
          <w:p>
            <w:pPr>
              <w:spacing w:before="0" w:after="0" w:line="259" w:lineRule="auto"/>
              <w:keepLines w:val="1"/>
              <w:widowControl w:val="1"/>
            </w:pPr>
            <w:r>
              <w:rPr>
                <w:rFonts w:ascii="Arial" w:hAnsi="Arial" w:eastAsia="Arial"/>
                <w:color w:val="1F2937"/>
                <w:sz w:val="19"/>
              </w:rPr>
              <w:t>Solo después de esta certificación se generan los archivos finales, se eliminan marcadores e instrucciones, se revisa cada página visualmente, se confirma que no hubo pago reciente y se remite por el canal oficial de reparto.</w:t>
            </w:r>
          </w:p>
        </w:tc>
      </w:tr>
    </w:tbl>
    <w:p>
      <w:pPr>
        <w:spacing w:before="0" w:after="0" w:line="240" w:lineRule="auto"/>
        <w:keepLines w:val="1"/>
        <w:widowControl w:val="1"/>
      </w:pPr>
    </w:p>
    <w:sectPr w:rsidR="00FC693F" w:rsidRPr="0006063C" w:rsidSect="00034616">
      <w:headerReference w:type="default" r:id="rId9"/>
      <w:footerReference w:type="default" r:id="rId10"/>
      <w:pgSz w:w="12240" w:h="15840"/>
      <w:pgMar w:top="1134" w:right="1332" w:bottom="1077" w:left="133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keepLines w:val="1"/>
      <w:widowControl w:val="1"/>
      <w:jc w:val="right"/>
    </w:pPr>
    <w:r>
      <w:rPr>
        <w:rFonts w:ascii="Arial" w:hAnsi="Arial" w:eastAsia="Arial"/>
        <w:color w:val="6B7280"/>
        <w:sz w:val="16"/>
      </w:rPr>
      <w:t xml:space="preserve">Página </w:t>
    </w:r>
    <w:r>
      <w:fldChar w:fldCharType="begin"/>
      <w:instrText xml:space="preserve">PAGE</w:instrText>
      <w:fldChar w:fldCharType="end"/>
    </w:r>
    <w:r>
      <w:rPr>
        <w:rFonts w:ascii="Arial" w:hAnsi="Arial" w:eastAsia="Arial"/>
        <w:color w:val="6B7280"/>
        <w:sz w:val="16"/>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keepLines w:val="1"/>
      <w:widowControl w:val="1"/>
      <w:jc w:val="left"/>
    </w:pPr>
    <w:r>
      <w:rPr>
        <w:rFonts w:ascii="Arial" w:hAnsi="Arial" w:eastAsia="Arial"/>
        <w:b/>
        <w:color w:val="17365D"/>
        <w:sz w:val="16"/>
      </w:rPr>
      <w:t>PROTOCOLO RECTOR CIVILISTA · CREARCOOP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Arial" w:hAnsi="Arial"/>
      <w:sz w:val="19"/>
    </w:rPr>
  </w:style>
  <w:style w:type="paragraph" w:styleId="ListBullet2">
    <w:name w:val="List Bullet 2"/>
    <w:basedOn w:val="Normal"/>
    <w:uiPriority w:val="99"/>
    <w:unhideWhenUsed/>
    <w:rsid w:val="00326F90"/>
    <w:pPr>
      <w:numPr>
        <w:numId w:val="2"/>
      </w:numPr>
      <w:spacing w:after="50" w:line="259" w:lineRule="auto"/>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Arial" w:hAnsi="Arial"/>
      <w:sz w:val="19"/>
    </w:rPr>
  </w:style>
  <w:style w:type="paragraph" w:styleId="ListNumber2">
    <w:name w:val="List Number 2"/>
    <w:basedOn w:val="Normal"/>
    <w:uiPriority w:val="99"/>
    <w:unhideWhenUsed/>
    <w:rsid w:val="0029639D"/>
    <w:pPr>
      <w:numPr>
        <w:numId w:val="6"/>
      </w:numPr>
      <w:spacing w:after="50" w:line="259" w:lineRule="auto"/>
      <w:contextualSpacing/>
    </w:pPr>
    <w:rPr>
      <w:rFonts w:ascii="Arial" w:hAnsi="Arial"/>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Compact">
    <w:name w:val="Protocol Compact"/>
    <w:pPr>
      <w:spacing w:after="60" w:line="254"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rector civilista CREARCOOP 2026</dc:title>
  <dc:subject>Procesos ejecutivos con pagaré y medidas cautelares</dc:subject>
  <dc:creator>Dirección Jurídica</dc:creator>
  <cp:keywords>CREARCOOP, proceso ejecutivo, pagaré, cautelares, CGP, Ley 2213, Ley 2220</cp:keywords>
  <dc:description>Versión 2.0 canónica. Fecha de corte 17 de julio de 2026.</dc:description>
  <cp:lastModifiedBy/>
  <cp:revision>1</cp:revision>
  <dcterms:created xsi:type="dcterms:W3CDTF">2013-12-23T23:15:00Z</dcterms:created>
  <dcterms:modified xsi:type="dcterms:W3CDTF">2013-12-23T23:15:00Z</dcterms:modified>
  <cp:category/>
</cp:coreProperties>
</file>