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b w:val="1"/>
          <w:bCs w:val="1"/>
          <w:sz w:val="32"/>
          <w:szCs w:val="32"/>
        </w:rPr>
        <w:t xml:space="preserve">AUDITORÍA PREVIA DEL EXPEDIENTE 1911000986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sz w:val="26"/>
          <w:szCs w:val="26"/>
        </w:rPr>
        <w:t xml:space="preserve">Resultado: ROJO — NO APTO PARA FIRMA NI RADICACIÓN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Fecha de corte de la auditoría: 17 de julio de 2026. Alcance: demanda ejecutiva y solicitud cautelar de MARÍA AMELIA CABIEDES PLATA, C.C. 41.526.686.</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 DECISIÓN EJECUTIVA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Los defectos encontrados afectan el mérito ejecutivo y no son simples errores de forma. Con los soportes actuales solo pueden emitirse borradores de control marcados NO RADICAR. No es responsable convertirlos en documentos listos para firma hasta cerrar la lista de faltantes de esta auditoría.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Bloqueos principales: (i) capital y vencimiento diligenciados sin trazabilidad compatible con las instrucciones; (ii) compromiso de pago del 31 de enero de 2026 no aportado; (iii) liquidación no reproducible; (iv) personería incompatible con el modelo; (v) contrato incompleto para descartar pacto arbitral; (vi) ausencia de consultas oficiales de insolvencia y procesos paralelos; y (vii) ausencia de activo cautelable actual individualizado.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2. IDENTIFICACIÓN DOCUMENTAL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Demandada: MARÍA AMELIA CABIEDES PLATA — C.C. 41.526.686 — deudora principal única.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Pagaré: 1911000986 — obligación: 10-1911000986 — no existe codeudor en el título revisado.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Archivo seleccionado: PAGARÉ 1911000986.pdf — 1.570.422 bytes — SHA-256 e1343ac3410ac6bfda11c7c609c19179c1948205e7966037d045f8e5f6497a86.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Extracto: EXTRACTO 41526686.PDF — 226.709 bytes — SHA-256 71546930e962d960630b0114711340c4da393d9d8b84c1767f335ac3507b4ba6.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Solicitud/liquidación/identificación: CC 41526686 PAGARE 1911000986.pdf — 1.966.009 bytes — SHA-256 4cd853c2d4110441d0369cc7c9948fd0a847f3b01b9890df81ade7a7d0d79916.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Versión descartada para la ejecución: 1911000986.pdf — 911.069 bytes — SHA-256 8ed71ad680394daac73f21b85fa064043c4687dd96822b2d38a7ac2521abc7b6. Se preserva solo para auditoría y comparación; no debe anexarse como título ejecutivo.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3. CONTRADICCIONES MATERIALES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3.1. El archivo histórico muestra el pagaré con campos esenciales en blanco; el archivo seleccionado los muestra diligenciados. El artículo 622 del Código de Comercio exige correspondencia estricta con las instrucciones.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3.2. El pagaré diligenciado expresa capital de $12.000.000, mientras el extracto al 6 de julio de 2026 informa capital insoluto de $3.745.935. Las instrucciones ordenan conciliar el campo con lo adeudado según libros; se requiere explicación y acta de llenado.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3.3. El vencimiento diligenciado es 6 de julio de 2026, pero el cronograma ordinario termina el 7 de octubre de 2026 y el extracto evidencia mora anterior. La cláusula del pagaré y la carta de instrucciones contienen criterios distintos para llenar el vencimiento. Debe documentarse la aceleración y su fecha.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3.4. El extracto registra “GENERACIÓN COMPROMISO DE PAGO” CO 1000183 el 31 de enero de 2026 por $5.378.900 y recaudos posteriores por $832.750 el 28 de abril y el 25 de mayo de 2026. Sin el compromiso no puede excluirse modificación del plazo, refinanciación, novación, reconocimiento de pagos o renuncia temporal a la aceleración.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3.5. El extracto no permite reproducir por sí solo bases, períodos, tasas y aplicación de pagos de los $1.670.935 de interés de plazo y $67.662 de mora.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3.6. Parte del desembolso refinanció la obligación 1911000712. Falta constancia de cierre y de no cobro paralelo.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4. PERSONERÍA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modelo identifica a ANGGIE GISSETH COUTIN MATURANA. Los soportes comunes revisados designan a NUBIA AIDE GALLEGO ÁLVAREZ y muestran su RNA, pero no acreditan poder especial individualizado para esta deudora y este pagaré.</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poder de cartera fechado el 2 de mayo de 2025 no individualiza este asunto. Conforme al artículo 74 del CGP, un poder especial debe determinar claramente los asuntos; el poder general se otorga por escritura pública. Debe reemplazarse o acreditarse la ruta válida.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certificado de la sociedad apoderada no demuestra que Anggie esté inscrita como profesional de la sociedad ni existe sustitución acreditada a su favor. El modelo también contenía un hipervínculo residual a marlinpalacios0913@gmail.com; fue eliminado de estos borradores.</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5. CUANTÍA, COMPETENCIA Y JURISDICCIÓN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Saldo provisional: $5.484.532. SMLMV 2026: $1.750.905. Umbral de 40 SMLMV: $70.036.200. El asunto es de mínima cuantía y el encabezado correcto, si no existe pacto arbitral, es JUEZ DE PEQUEÑAS CAUSAS Y COMPETENCIA MÚLTIPLE DE BOGOTÁ D.C. (REPARTO).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dirección Carrera 8G No. 159B-25 corresponde documentalmente a San Cristóbal Norte, localidad de Usaquén. No debe utilizarse “Bogotá, Cundinamarca”. El reparto, no el demandante, definirá el juzgado específico.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Ley 2540 de 2025 rige desde el 27 de febrero de 2026 y permite arbitraje ejecutivo cuando existe pacto aplicable. Falta contrato completo y certificación de búsqueda de documento anexo o cláusula compromisoria.</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6. INTERESES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Capital provisional: $3.745.935. Intereses remuneratorios provisionales: $1.670.935. Mora provisional: $67.662. Total al 6 de julio de 2026: $5.484.532.</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crédito fue originado y desembolsado el 7 de octubre de 2022. El parágrafo transitorio del Decreto 455 de 2023 ordena aplicar hasta agotar el saldo la certificación de microcrédito de la Resolución SFC 1968 de 2022: IBC 39,20 % E.A. y máximo remuneratorio o moratorio 58,80 % E.A. La tasa contractual de 26,82 % E.A. es inferior.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No debe solicitarse mora futura sobre intereses remuneratorios ni moratorios. Si se valida el vencimiento del 6 de julio de 2026, la mora futura sobre capital iniciaría el 7 de julio de 2026; esta fecha permanece bloqueada hasta explicar el compromiso y el llenado.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7. MEDIDA CAUTELAR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única pista individualizada es FOPEP, basada en desprendibles de julio y agosto de 2022. No prueba situación actual. No procede pedir a todos los fondos, bancos, SNR, RUNT, cámaras de comercio, SIC, SECOP ni empleadores indeterminados.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Para un crédito de cooperativa, la mesada puede embargarse sin exceder el 50 %, pero ese porcentaje es un techo y no una orden automática. Deben preservarse mínimo vital, descuentos de salud, órdenes alimentarias y embargos anteriores. Se requiere certificación actual del pagador y de la mesada neta.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incremento del 50 % del numeral 10 del artículo 593 CGP corresponde a depósitos bancarios; no es un límite universal. El artículo 599 contiene la regla general de proporcionalidad y tope sobre bienes cautelados.</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8. NOTIFICACIÓN Y DATOS PERSONALES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dirección, el celular y el correo provienen de documentos de 2022. El correo manuscrito no puede leerse con certeza suficiente. No debe jurarse ni usarse para notificación electrónica hasta obtener evidencia reciente de titularidad y uso, conforme al artículo 8 de la Ley 2213 de 2022.</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9. SEMÁFORO POR GATES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G0 Vigencia oficial: AMARILLO — normas y tasa transitoria verificadas; debe repetirse control inmediatamente antes de radicar.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G1 Identidad y legitimación: AMARILLO — coinciden nombre, cédula, título y extracto; faltan certificado corporativo vigente, titularidad y custodia del original.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G2 Personería y firmante: ROJO — modelo y soportes no coinciden; poder no individualizado.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G3 Jurisdicción y arbitraje: ROJO — contrato incompleto y ausencia de certificación sobre pacto arbitral.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G4 Competencia y cuantía: AMARILLO — mínima cuantía calculada; domicilio y reparto deben actualizarse al presentar.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G5 Título claro, expreso y exigible: ROJO — llenado, vencimiento y compromiso impiden afirmarlo.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G6 Requisitos y llenado: ROJO — capital y vencimiento no conciliados con instrucciones.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G7 Mora, vencimiento y aceleración: ROJO — fecha de aceleración y efecto del compromiso no establecidos.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G8 Prescripción: ROJO — el literal indica 6 de julio de 2029, pero la instrucción ligada al inicio de mora permite una defensa anterior.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G9 Capital, pagos e intereses: ROJO — liquidación no reproducible ni actualizada.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G10 Insolvencia y procesos paralelos: ROJO — no existen consultas oficiales documentadas.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G11 Justicia digital, anexos y cautela: ROJO — canales antiguos, personería digital incompleta y ningún activo actual individualizado.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10. DEFENSAS PREVISIBLES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contraparte podría alegar: llenado contrario a instrucciones; inexigibilidad; aceleración no demostrada; pago parcial; acuerdo, reestructuración o novación; cobro de lo no debido; liquidación incorrecta; prescripción; personería irregular; falta de jurisdicción o competencia; nulidad de notificación; cautela excesiva; y doble cobro de la obligación refinanciada.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Como juez, los defectos formales justificarían inadmisión y los defectos del título podrían llevar a negar el mandamiento o a estimar excepciones. Las cautelas genéricas deberían negarse.</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11. LISTA CERRADA DE SUBSANACIONES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 Compromiso de pago completo del 31 de enero de 2026, cronograma, comunicaciones e incumplimiento.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2. Certificación contable que explique el movimiento CO 1000183 y los pagos posteriores.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 Liquidación actualizada y reproducible a la fecha de radicación, con capital base, períodos, tasas y aplicación de cada pago.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4. Acta de llenado y cadena de custodia: fecha, responsable, fuente de cada campo, original, no circulación y no endoso.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5. Explicación jurídica y contable del capital $12.000.000 y vencimiento 6 de julio de 2026; si no se reconcilian, ratificación expresa o nuevo título válido.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6. Certificado vigente de CREARCOOP y soporte de facultades de quien otorgó el poder.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7. Poder especial individualizado para esta deudora y pagaré, o poder general por escritura pública.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8. Definición de apoderada: soporte societario o sustitución, RNA vigente y correo coincidente.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9. Contrato y condiciones completas, con certificación de búsqueda de pacto arbitral.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10. Consultas oficiales recientes de insolvencia, reorganización, fallecimiento, sucesión y procesos paralelos.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11. Constancia de cierre y no cobro separado de la obligación refinanciada No. 1911000712.</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12. Evidencia reciente de domicilio, localidad, celular y canal electrónico.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13. Certificación reciente de FOPEP, pagador, clase de pensión, mesada neta, descuentos y embargos; o soporte actual de otro activo individualizado.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14. Certificaciones oficiales de la tasa aplicada y control final del límite de intereses.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15. Índice final de anexos, páginas, legibilidad, hashes y verificación de custodia.</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12. FUENTES OFICIALES VERIFICADAS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Código General del Proceso: https://www.funcionpublica.gov.co/eva/gestornormativo/norma.php?i=48425</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Código de Comercio: https://www1.funcionpublica.gov.co/eva/gestornormativo/norma.php?i=41102</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Ley 2213 de 2022: https://www.funcionpublica.gov.co/eva/gestornormativo/norma.php?i=187626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Ley 2540 de 2025: https://www.funcionpublica.gov.co/eva/gestornormativo/norma.php?i=263541</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Decreto 455 de 2023: https://www.funcionpublica.gov.co/eva/gestornormativo/norma.php?i=205884</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Resolución SFC 1968 de 2022 y comunicado oficial: https://www.superfinanciera.gov.co/publicaciones/10112914/</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Ley 100 de 1993, artículo 134: https://www1.funcionpublica.gov.co/eva/gestornormativo/norma.php?i=5248</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Decreto 1833 de 2016: https://www.funcionpublica.gov.co/eva/gestornormativo/norma.php?i=85319</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Ley 2220 de 2022: https://www.funcionpublica.gov.co/eva/gestornormativo/norma.php?i=188766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SMLMV 2026, Decreto 159 de 2026: https://www.suin-juriscol.gov.co/viewDocument.asp?id=30056106</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13. CONTROL DE PLANTILLA Y CALIDAD</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No aparecieron en Drive ni en la carpeta local las dos plantillas canónicas nombradas por el protocolo. Los borradores conservaron papel legal, encabezados y pies de los modelos disponibles, pero sustituyeron el texto incompatible y eliminaron instrucciones de color, codeudor de muestra, datos del expediente de ejemplo, autorización del dependiente no soportado e hipervínculos residuales.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Clasificación autorizada del producto: únicamente BORRADOR DE CONTROL — NO RADICAR. El expediente no puede declararse APTO PARA REVISIÓN Y FIRMA HUMANA hasta cerrar todos los gates rojos.</w:t>
      </w:r>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