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491348" w14:textId="5EBDB37D" w:rsidR="00EE54DE" w:rsidRPr="00EE54DE" w:rsidRDefault="005268EF">
      <w:pPr>
        <w:spacing w:before="240" w:after="240" w:line="276" w:lineRule="auto"/>
        <w:rPr>
          <w:rFonts w:ascii="Arial" w:eastAsia="Arial" w:hAnsi="Arial" w:cs="Arial"/>
        </w:rPr>
      </w:pPr>
      <w:r>
        <w:rPr>
          <w:rFonts w:ascii="Arial" w:eastAsia="Arial" w:hAnsi="Arial" w:cs="Arial"/>
          <w:b w:val="1"/>
          <w:bCs w:val="1"/>
          <w:sz w:val="32"/>
          <w:szCs w:val="32"/>
        </w:rPr>
        <w:t xml:space="preserve">INFORME DE VIABILIDAD — EXPEDIENTE 1911000986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1F4E78"/>
          <w:b w:val="1"/>
          <w:bCs w:val="1"/>
        </w:rPr>
        <w:t xml:space="preserve">Control interno reservado · versión 2 · 18 de julio de 2026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color w:val="C00000"/>
          <w:b w:val="1"/>
          <w:bCs w:val="1"/>
          <w:sz w:val="26"/>
          <w:szCs w:val="26"/>
        </w:rPr>
        <w:t xml:space="preserve">DECISIÓN: ROJO — NO APTO PARA FIRMA NI RADICACIÓN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acción no se descarta. Existe una ruta jurídica seria para reclamar únicamente el saldo real, pero hoy no puede afirmarse de manera responsable la exigibilidad ni el importe de todos los accesorios. Deben cerrarse primero los gates G2, G3, G5, G6, G7, G9 y G10.</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1. CONCLUSIÓN EJECUTIVA</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pagaré No. 1911000986 contiene firma de la deudora, promesa de pago, beneficiario, monto facial y vencimiento. El extracto identifica la misma obligación y permite conciliar exactamente el capital: $12.000.000 de cargo menos $8.254.065 de abonos equivale a $3.745.935 de saldo al 6 de julio de 2026. Esto permite estructurar una futura acción ejecutiva por la parte no pagada, conforme a los artículos 624 y 782 del Código de Comercio y a la cláusula quinta del pagaré, siempre que CREARCOOP pruebe qué acordó en el compromiso de enero de 2026, cómo ejerció la aceleración y cuál es el saldo actual.</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Legitimación nominal: el formato del pagaré aún dice “COOPERATIVA DE AHORRO Y CRÉDITO CREAR LTDA.”. El certificado de Cámara informa que la misma entidad cambió desde esa denominación a “COOPERATIVA DE AHORRO Y CRÉDITO CREAR”, sigla CREARCOOP, por reforma inscrita el 17 de noviembre de 2021. La continuidad debe probarse con un certificado actualizado al presentar; no basta el certificado de 5 de febrero de 2026.</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problema determinante no es que el pagaré muestre $12.000.000 mientras se pretenda menos. El problema es que las instrucciones exigían llenar el capital con lo adeudado al momento del diligenciamiento, y el expediente no explica por qué se escribió el capital original. La estrategia no debe ocultar esa diferencia: debe limitar la pretensión al saldo real, documentar su reconciliación y estar preparada para una adecuación judicial del importe.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movimiento CO 1000183 es el principal bloqueo. El extracto lo denomina “GENERACIÓN COMPROMISO DE PAGO” y registra abonos contables por $4.970.391 a capital y $408.509 a mora. Sin el documento fuente no puede saberse si hubo acuerdo de pago, condonación, reestructuración, traslado contable, sustitución, novación o condiciones de reviviscencia. Ninguna de esas alternativas puede escogerse por inferencia. El capital sí concilia; los intereses no: la diferencia visible entre cargos y abonos de mora es $9.881, no el saldo informado de $67.662.</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2. RUTA DE SALVAMENTO</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Ruta A — aceleración: acreditar que, tras un incumplimiento determinado, CREARCOOP ejerció la facultad de la cláusula decimocuarta el 6 de julio de 2026 y diligenció el pagaré ese mismo día. Esta ruta concilia el vencimiento escrito con la carta separada, que ordena usar el día del llenado. Requiere soporte contemporáneo o certificación ex post veraz y trazable; no se puede antedatar.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Ruta B — compromiso: si CO 1000183 modificó el plazo o fijó nuevas cuotas, narrar exclusivamente lo que el acuerdo firmado disponga, demostrar su incumplimiento y establecer si el título original conservó exigibilidad. La cláusula décima contiene una estipulación de no novación para reestructuraciones, pero no reemplaza el examen del acuerdo concreto ni de sus efectos.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Ruta C — abstención: si no se acredita A o B, no presentar demanda. La fecha facial por sí sola no explica por qué la obligación, cuyo plan ordinario terminaba el 7 de octubre de 2026, fue anticipada al 6 de julio de 2026.</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3. SEMÁFORO DE GATES</w:t>
      </w:r>
    </w:p>
    <w:tbl>
      <w:tblPr>
        <w:tblW w:w="8700" w:type="dxa"/>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800"/>
        <w:gridCol w:w="2100"/>
        <w:gridCol w:w="1100"/>
        <w:gridCol w:w="4700"/>
      </w:tblGrid>
      <w:tr>
        <w:trPr>
          <w:tblHeader/>
        </w:trPr>
        <w:tc>
          <w:tcPr>
            <w:tcW w:w="8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Gate</w:t>
            </w:r>
          </w:p>
        </w:tc>
        <w:tc>
          <w:tcPr>
            <w:tcW w:w="21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Control</w:t>
            </w:r>
          </w:p>
        </w:tc>
        <w:tc>
          <w:tcPr>
            <w:tcW w:w="11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Estado</w:t>
            </w:r>
          </w:p>
        </w:tc>
        <w:tc>
          <w:tcPr>
            <w:tcW w:w="4700" w:type="dxa"/>
            <w:tcMar>
              <w:top w:w="70" w:type="dxa"/>
              <w:left w:w="70" w:type="dxa"/>
              <w:bottom w:w="70" w:type="dxa"/>
              <w:right w:w="70" w:type="dxa"/>
            </w:tcMar>
            <w:shd w:fill="1F4E78"/>
          </w:tcPr>
          <w:p>
            <w:pPr>
              <w:spacing w:after="40" w:line="220" w:lineRule="auto"/>
            </w:pPr>
            <w:r>
              <w:rPr>
                <w:rFonts w:ascii="Arial" w:hAnsi="Arial" w:cs="Arial"/>
                <w:b/>
                <w:bCs/>
                <w:color w:val="FFFFFF"/>
                <w:sz w:val="16"/>
                <w:szCs w:val="16"/>
              </w:rPr>
              <w:t xml:space="preserve">Razón</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G0</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Vigencia oficial</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Normas decisivas verificadas; repetir control el día de la radicación.</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G1</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Identidad y legitimación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Nombre, cédula, pagaré y obligación coinciden; faltan certificado vigente, custodia y no circulación.</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G2</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Personería y firmante</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El poder común no individualiza el asunto; modelo y designación señalan profesionales distintas.</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G3</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Jurisdicción/arbitraje</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No se aportó el contrato completo ni certificación sobre pacto arbitral ejecutivo.</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G4</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Competencia y cuantía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Mínima cuantía y Bogotá están sustentadas de forma documental; actualizar al presentar.</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G5</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Título ejecutivo</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Falta establecer el efecto de CO 1000183 y la exigibilidad del saldo.</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G6</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Requisitos y llenado</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Capital y vencimiento deben reconciliarse con ambas instrucciones.</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G7</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Mora/aceleración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No existe soporte del evento, ejercicio y fecha de aceleración.</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G8</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Prescripción</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AMARILLO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Facialmente vence 06/07/2029; depende de validar el vencimiento y controlar art. 94 CGP.</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G9</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Capital/intereses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Saldo sin actualización; interés de plazo no separa causado de futuro; CO 1000183 no explicado.</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G10</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Insolvencia/procesos</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No hay consultas oficiales recientes documentadas.</w:t>
            </w:r>
          </w:p>
        </w:tc>
      </w:tr>
      <w:tr>
        <w:tc>
          <w:tcPr>
            <w:tcW w:w="800" w:type="dxa"/>
            <w:tcMar>
              <w:top w:w="70" w:type="dxa"/>
              <w:left w:w="70" w:type="dxa"/>
              <w:bottom w:w="70" w:type="dxa"/>
              <w:right w:w="70" w:type="dxa"/>
            </w:tcMar>
          </w:tcPr>
          <w:p>
            <w:pPr>
              <w:spacing w:after="40" w:line="220" w:lineRule="auto"/>
            </w:pPr>
            <w:r>
              <w:rPr>
                <w:rFonts w:ascii="Arial" w:hAnsi="Arial" w:cs="Arial"/>
                <w:sz w:val="16"/>
                <w:szCs w:val="16"/>
              </w:rPr>
              <w:t xml:space="preserve">G11</w:t>
            </w:r>
          </w:p>
        </w:tc>
        <w:tc>
          <w:tcPr>
            <w:tcW w:w="2100" w:type="dxa"/>
            <w:tcMar>
              <w:top w:w="70" w:type="dxa"/>
              <w:left w:w="70" w:type="dxa"/>
              <w:bottom w:w="70" w:type="dxa"/>
              <w:right w:w="70" w:type="dxa"/>
            </w:tcMar>
          </w:tcPr>
          <w:p>
            <w:pPr>
              <w:spacing w:after="40" w:line="220" w:lineRule="auto"/>
            </w:pPr>
            <w:r>
              <w:rPr>
                <w:rFonts w:ascii="Arial" w:hAnsi="Arial" w:cs="Arial"/>
                <w:sz w:val="16"/>
                <w:szCs w:val="16"/>
              </w:rPr>
              <w:t xml:space="preserve">Digital/anexos/cautela</w:t>
            </w:r>
          </w:p>
        </w:tc>
        <w:tc>
          <w:tcPr>
            <w:tcW w:w="1100" w:type="dxa"/>
            <w:tcMar>
              <w:top w:w="70" w:type="dxa"/>
              <w:left w:w="70" w:type="dxa"/>
              <w:bottom w:w="70" w:type="dxa"/>
              <w:right w:w="70" w:type="dxa"/>
            </w:tcMar>
          </w:tcPr>
          <w:p>
            <w:pPr>
              <w:spacing w:after="40" w:line="220" w:lineRule="auto"/>
            </w:pPr>
            <w:r>
              <w:rPr>
                <w:rFonts w:ascii="Arial" w:hAnsi="Arial" w:cs="Arial"/>
                <w:sz w:val="16"/>
                <w:szCs w:val="16"/>
              </w:rPr>
              <w:t xml:space="preserve">ROJO</w:t>
            </w:r>
          </w:p>
        </w:tc>
        <w:tc>
          <w:tcPr>
            <w:tcW w:w="4700" w:type="dxa"/>
            <w:tcMar>
              <w:top w:w="70" w:type="dxa"/>
              <w:left w:w="70" w:type="dxa"/>
              <w:bottom w:w="70" w:type="dxa"/>
              <w:right w:w="70" w:type="dxa"/>
            </w:tcMar>
          </w:tcPr>
          <w:p>
            <w:pPr>
              <w:spacing w:after="40" w:line="220" w:lineRule="auto"/>
            </w:pPr>
            <w:r>
              <w:rPr>
                <w:rFonts w:ascii="Arial" w:hAnsi="Arial" w:cs="Arial"/>
                <w:sz w:val="16"/>
                <w:szCs w:val="16"/>
              </w:rPr>
              <w:t xml:space="preserve">Canales de 2022 y FOPEP histórico; cautela no individualizada en forma actual.</w:t>
            </w:r>
          </w:p>
        </w:tc>
      </w:tr>
    </w:tbl>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Control de cuantía: el SMLMV transitorio de 2026 es $1.750.905 y cuarenta (40) SMLMV equivalen a $70.036.200. El saldo conocido de $5.484.532 es de mínima cuantía, sin perjuicio de actualizar el importe al día de presentación.</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4. APRECIACIÓN COMO CONTRAPARTE</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defensa más fuerte sería llenar el título en contra de las instrucciones: capital facial original frente a saldo insoluto y dos reglas distintas para el vencimiento. Seguirían pago/acuerdo, cobro de lo no debido, liquidación opaca, ausencia de ejercicio probado de la aceleración, personería, pacto arbitral, prescripción, notificación y exceso cautelar.</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documento CO 1000183 permitiría además alegar que la cooperativa aplicó contablemente una reducción sin explicar su causa y que los dos pagos de $832.750 fueron realizados bajo un acuerdo posterior. Si el acreedor no aporta el acuerdo, la contraparte puede pedir exhibición y usar esa omisión en su teoría probatoria. También puede resaltar la asimetría del llenado: el interés escrito coincide exactamente con el extracto al corte, mientras el capital quedó por el monto original.</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5. APRECIACIÓN COMO JUEZ</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En el umbral del artículo 430 del CGP, un juez podría librar mandamiento por el saldo menor si el conjunto documental permite establecerlo, o negar/limitar conceptos si no son claros y exigibles. La divergencia de instrucciones no produce inexorablemente nulidad del título, pero sí obliga a establecer lo efectivamente pactado. Mientras no exista certificación suficiente, la ruta conservadora es reclamar el capital insoluto actualizado, la mora futura desde una aceleración probada y las costas, sin incluir los $1.670.935 ni los $67.662 históricos.</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La cautelar FOPEP no puede activarse con desprendibles de 2022. Debe acreditarse condición actual de pensionada, pagador, mesada neta, descuentos y afectación residual. El 50 % es un máximo legal para créditos cooperativos, no el porcentaje automático del caso.</w:t>
      </w:r>
    </w:p>
    <w:p w14:paraId="7D521A7E" w14:textId="7625D133" w:rsidR="00FF7404" w:rsidRDefault="00F57F5A" w:rsidP="00723249">
      <w:pPr>
        <w:pStyle w:val="Ttulo2"/>
        <w:keepNext w:val="1"/>
        <w:keepLines w:val="0"/>
        <w:spacing w:line="276" w:lineRule="auto"/>
        <w:jc w:val="center"/>
        <w:rPr>
          <w:rFonts w:ascii="Arial" w:eastAsia="Arial" w:hAnsi="Arial" w:cs="Arial"/>
          <w:b/>
          <w:bCs/>
          <w:sz w:val="24"/>
          <w:szCs w:val="24"/>
        </w:rPr>
      </w:pPr>
      <w:r>
        <w:rPr>
          <w:rFonts w:ascii="Arial" w:eastAsia="Arial" w:hAnsi="Arial" w:cs="Arial"/>
          <w:b w:val="1"/>
          <w:bCs w:val="1"/>
          <w:sz w:val="24"/>
          <w:szCs w:val="24"/>
        </w:rPr>
        <w:t xml:space="preserve">6. ALERTA DE HOMOLOGACIÓN</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El protocolo identifica como inmutables FORMATO_DEMANDA_EJECUTIVA_CREARCOOP_HOMOLOGADO_v2.0.docx y FORMATO_MEDIDAS_CAUTELARES_CREARCOOP_HOMOLOGADO_v2.0.docx. Esos nombres no aparecen en Drive ni en la carpeta local. Este paquete conserva membrete, tamaño, márgenes, encabezado y pie de MODELO.docx y MODELO MEDIDAS.docx, pero no puede certificarse como plantilla canónica v2.0.</w:t>
      </w:r>
    </w:p>
    <w:p w14:paraId="7D521A7F" w14:textId="77777777" w:rsidR="00FF7404" w:rsidRDefault="00F57F5A" w:rsidP="00723249">
      <w:pPr>
        <w:spacing w:before="240" w:after="240" w:line="276" w:lineRule="auto"/>
        <w:rPr>
          <w:rFonts w:ascii="Arial" w:eastAsia="Arial" w:hAnsi="Arial" w:cs="Arial"/>
        </w:rPr>
      </w:pPr>
      <w:r>
        <w:rPr>
          <w:rFonts w:ascii="Arial" w:eastAsia="Arial" w:hAnsi="Arial" w:cs="Arial"/>
        </w:rPr>
        <w:t xml:space="preserve">Además, la regla azul del modelo que permite omitir la aceleración cuando el vencimiento del pagaré coincide con el corte contable es insuficiente aquí: el plan ordinario termina después. Cambio mínimo propuesto para homologación: exigir módulo de aceleración siempre que el vencimiento diligenciado sea anterior al vencimiento ordinario, aunque coincida con el corte.</w:t>
      </w:r>
    </w:p>
    <w:sectPr w:rsidR="00F754D3" w:rsidRPr="00EE63A2">
      <w:headerReference w:type="even" r:id="rId13"/>
      <w:headerReference w:type="default" r:id="rId14"/>
      <w:footerReference w:type="default" r:id="rId15"/>
      <w:headerReference w:type="first" r:id="rId16"/>
      <w:pgSz w:w="12240" w:h="20160"/>
      <w:pgMar w:top="2268" w:right="1474" w:bottom="2268" w:left="1418" w:header="0" w:footer="15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95114" w14:textId="77777777" w:rsidR="003B3EFA" w:rsidRDefault="003B3EFA">
      <w:pPr>
        <w:spacing w:line="240" w:lineRule="auto"/>
      </w:pPr>
      <w:r>
        <w:separator/>
      </w:r>
    </w:p>
  </w:endnote>
  <w:endnote w:type="continuationSeparator" w:id="0">
    <w:p w14:paraId="129F3DDD" w14:textId="77777777" w:rsidR="003B3EFA" w:rsidRDefault="003B3E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8898220-9C79-4904-AEA2-510944DB200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D724454F-9072-4FA8-9641-386D6B181587}"/>
  </w:font>
  <w:font w:name="Cambria">
    <w:panose1 w:val="02040503050406030204"/>
    <w:charset w:val="00"/>
    <w:family w:val="roman"/>
    <w:pitch w:val="variable"/>
    <w:sig w:usb0="E00006FF" w:usb1="420024FF" w:usb2="02000000" w:usb3="00000000" w:csb0="0000019F" w:csb1="00000000"/>
    <w:embedRegular r:id="rId3" w:fontKey="{4CCCF008-3F87-4C82-BC28-7C246055E3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3" w14:textId="77777777" w:rsidR="00FF7404" w:rsidRDefault="00FF7404">
    <w:pPr>
      <w:pBdr>
        <w:top w:val="nil"/>
        <w:left w:val="nil"/>
        <w:bottom w:val="nil"/>
        <w:right w:val="nil"/>
        <w:between w:val="nil"/>
      </w:pBdr>
      <w:tabs>
        <w:tab w:val="center" w:pos="4419"/>
        <w:tab w:val="right" w:pos="8838"/>
      </w:tabs>
      <w:spacing w:line="240" w:lineRule="auto"/>
      <w:ind w:left="-1701"/>
      <w:rPr>
        <w:color w:val="000000"/>
      </w:rPr>
    </w:pPr>
  </w:p>
  <w:p w14:paraId="7D521AD4" w14:textId="77777777" w:rsidR="00FF7404" w:rsidRDefault="00F57F5A">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6704" behindDoc="0" locked="0" layoutInCell="1" hidden="0" allowOverlap="1" wp14:anchorId="7D521ADB" wp14:editId="7D521ADC">
          <wp:simplePos x="0" y="0"/>
          <wp:positionH relativeFrom="column">
            <wp:posOffset>-900427</wp:posOffset>
          </wp:positionH>
          <wp:positionV relativeFrom="paragraph">
            <wp:posOffset>186690</wp:posOffset>
          </wp:positionV>
          <wp:extent cx="7772400" cy="1219149"/>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7772400" cy="1219149"/>
                  </a:xfrm>
                  <a:prstGeom prst="rect">
                    <a:avLst/>
                  </a:prstGeom>
                  <a:ln/>
                </pic:spPr>
              </pic:pic>
            </a:graphicData>
          </a:graphic>
        </wp:anchor>
      </w:drawing>
    </w:r>
  </w:p>
  <w:p w14:paraId="7D521AD5" w14:textId="77777777" w:rsidR="00FF7404" w:rsidRDefault="00FF7404">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4437E4" w14:textId="77777777" w:rsidR="003B3EFA" w:rsidRDefault="003B3EFA">
      <w:pPr>
        <w:spacing w:line="240" w:lineRule="auto"/>
      </w:pPr>
      <w:r>
        <w:separator/>
      </w:r>
    </w:p>
  </w:footnote>
  <w:footnote w:type="continuationSeparator" w:id="0">
    <w:p w14:paraId="3C4853F6" w14:textId="77777777" w:rsidR="003B3EFA" w:rsidRDefault="003B3E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9"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left:0;text-align:left;margin-left:0;margin-top:0;width:201.05pt;height:147.5pt;z-index:-251656704;mso-position-horizontal:center;mso-position-horizontal-relative:margin;mso-position-vertical:center;mso-position-vertical-relative:margin">
          <v:imagedata r:id="rId1" o:title="image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CA" w14:textId="77777777" w:rsidR="00FF7404" w:rsidRDefault="00F57F5A">
    <w:pPr>
      <w:spacing w:line="240" w:lineRule="auto"/>
      <w:rPr>
        <w:rFonts w:ascii="Arial" w:eastAsia="Arial" w:hAnsi="Arial" w:cs="Arial"/>
        <w:b/>
        <w:bCs/>
        <w:color w:val="000000"/>
        <w:sz w:val="28"/>
        <w:szCs w:val="28"/>
      </w:rPr>
    </w:pPr>
    <w:r>
      <w:rPr>
        <w:noProof/>
      </w:rPr>
      <w:drawing>
        <wp:anchor distT="0" distB="0" distL="0" distR="0" simplePos="0" relativeHeight="251655680" behindDoc="1" locked="0" layoutInCell="1" hidden="0" allowOverlap="1" wp14:anchorId="7D521AD8" wp14:editId="7D521AD9">
          <wp:simplePos x="0" y="0"/>
          <wp:positionH relativeFrom="page">
            <wp:align>left</wp:align>
          </wp:positionH>
          <wp:positionV relativeFrom="page">
            <wp:align>top</wp:align>
          </wp:positionV>
          <wp:extent cx="3743325" cy="1604963"/>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7D521ACB" w14:textId="77777777" w:rsidR="00FF7404" w:rsidRDefault="00FF7404">
    <w:pPr>
      <w:spacing w:line="240" w:lineRule="auto"/>
      <w:rPr>
        <w:rFonts w:ascii="Arial" w:eastAsia="Arial" w:hAnsi="Arial" w:cs="Arial"/>
        <w:b/>
        <w:bCs/>
        <w:color w:val="000000"/>
        <w:sz w:val="28"/>
        <w:szCs w:val="28"/>
      </w:rPr>
    </w:pPr>
  </w:p>
  <w:p w14:paraId="7D521ACC" w14:textId="77777777" w:rsidR="00FF7404" w:rsidRDefault="00FF7404">
    <w:pPr>
      <w:spacing w:line="240" w:lineRule="auto"/>
      <w:rPr>
        <w:rFonts w:ascii="Arial" w:eastAsia="Arial" w:hAnsi="Arial" w:cs="Arial"/>
        <w:b/>
        <w:bCs/>
        <w:color w:val="000000"/>
        <w:sz w:val="28"/>
        <w:szCs w:val="28"/>
      </w:rPr>
    </w:pPr>
  </w:p>
  <w:p w14:paraId="7D521ACD" w14:textId="77777777" w:rsidR="00FF7404" w:rsidRDefault="00FF7404">
    <w:pPr>
      <w:pBdr>
        <w:top w:val="nil"/>
        <w:left w:val="nil"/>
        <w:bottom w:val="nil"/>
        <w:right w:val="nil"/>
        <w:between w:val="nil"/>
      </w:pBdr>
      <w:tabs>
        <w:tab w:val="center" w:pos="4419"/>
        <w:tab w:val="right" w:pos="8838"/>
      </w:tabs>
      <w:spacing w:line="240" w:lineRule="auto"/>
      <w:rPr>
        <w:color w:val="000000"/>
      </w:rPr>
    </w:pPr>
  </w:p>
  <w:p w14:paraId="7D521ACE"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CF" w14:textId="6B2DE568" w:rsidR="00FF7404" w:rsidRDefault="00000000">
    <w:pPr>
      <w:pBdr>
        <w:top w:val="nil"/>
        <w:left w:val="nil"/>
        <w:bottom w:val="nil"/>
        <w:right w:val="nil"/>
        <w:between w:val="nil"/>
      </w:pBdr>
      <w:tabs>
        <w:tab w:val="center" w:pos="4419"/>
        <w:tab w:val="right" w:pos="8838"/>
      </w:tabs>
      <w:spacing w:line="240" w:lineRule="auto"/>
      <w:jc w:val="right"/>
      <w:rPr>
        <w:color w:val="000000"/>
      </w:rPr>
    </w:pPr>
    <w:r>
      <w:pict w14:anchorId="7D52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left:0;text-align:left;margin-left:0;margin-top:0;width:249.3pt;height:182.9pt;z-index:-251658752;mso-position-horizontal:center;mso-position-horizontal-relative:margin;mso-position-vertical:center;mso-position-vertical-relative:margin">
          <v:imagedata r:id="rId2" o:title="image4"/>
          <w10:wrap anchorx="margin" anchory="margin"/>
        </v:shape>
      </w:pict>
    </w:r>
    <w:r w:rsidR="00F57F5A">
      <w:rPr>
        <w:color w:val="000000"/>
      </w:rPr>
      <w:fldChar w:fldCharType="begin"/>
    </w:r>
    <w:r w:rsidR="00F57F5A">
      <w:rPr>
        <w:color w:val="000000"/>
      </w:rPr>
      <w:instrText>PAGE</w:instrText>
    </w:r>
    <w:r w:rsidR="00F57F5A">
      <w:rPr>
        <w:color w:val="000000"/>
      </w:rPr>
      <w:fldChar w:fldCharType="separate"/>
    </w:r>
    <w:r w:rsidR="00192A32">
      <w:rPr>
        <w:noProof/>
        <w:color w:val="000000"/>
      </w:rPr>
      <w:t>1</w:t>
    </w:r>
    <w:r w:rsidR="00F57F5A">
      <w:rPr>
        <w:color w:val="000000"/>
      </w:rPr>
      <w:fldChar w:fldCharType="end"/>
    </w:r>
  </w:p>
  <w:p w14:paraId="7D521AD0"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1" w14:textId="77777777" w:rsidR="00FF7404" w:rsidRDefault="00FF7404">
    <w:pPr>
      <w:pBdr>
        <w:top w:val="nil"/>
        <w:left w:val="nil"/>
        <w:bottom w:val="nil"/>
        <w:right w:val="nil"/>
        <w:between w:val="nil"/>
      </w:pBdr>
      <w:tabs>
        <w:tab w:val="center" w:pos="4419"/>
        <w:tab w:val="right" w:pos="8838"/>
      </w:tabs>
      <w:spacing w:line="240" w:lineRule="auto"/>
      <w:jc w:val="right"/>
    </w:pPr>
  </w:p>
  <w:p w14:paraId="7D521AD2" w14:textId="77777777" w:rsidR="00FF7404" w:rsidRDefault="00FF7404">
    <w:pPr>
      <w:pBdr>
        <w:top w:val="nil"/>
        <w:left w:val="nil"/>
        <w:bottom w:val="nil"/>
        <w:right w:val="nil"/>
        <w:between w:val="nil"/>
      </w:pBdr>
      <w:tabs>
        <w:tab w:val="center" w:pos="4419"/>
        <w:tab w:val="right" w:pos="8838"/>
      </w:tabs>
      <w:spacing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21AD6" w14:textId="77777777" w:rsidR="00FF7404" w:rsidRDefault="00000000">
    <w:pPr>
      <w:pBdr>
        <w:top w:val="nil"/>
        <w:left w:val="nil"/>
        <w:bottom w:val="nil"/>
        <w:right w:val="nil"/>
        <w:between w:val="nil"/>
      </w:pBdr>
      <w:tabs>
        <w:tab w:val="center" w:pos="4419"/>
        <w:tab w:val="right" w:pos="8838"/>
      </w:tabs>
      <w:spacing w:line="240" w:lineRule="auto"/>
      <w:rPr>
        <w:color w:val="000000"/>
      </w:rPr>
    </w:pPr>
    <w:r>
      <w:rPr>
        <w:color w:val="000000"/>
      </w:rPr>
      <w:pict w14:anchorId="7D52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left:0;text-align:left;margin-left:0;margin-top:0;width:201.05pt;height:147.5pt;z-index:-251657728;mso-position-horizontal:center;mso-position-horizontal-relative:margin;mso-position-vertical:center;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D7C80"/>
    <w:multiLevelType w:val="multilevel"/>
    <w:tmpl w:val="3B3CC2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997FA8"/>
    <w:multiLevelType w:val="multilevel"/>
    <w:tmpl w:val="65CA72F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7E3B00"/>
    <w:multiLevelType w:val="hybridMultilevel"/>
    <w:tmpl w:val="3FD2EC5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EF00563"/>
    <w:multiLevelType w:val="hybridMultilevel"/>
    <w:tmpl w:val="A15A699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252096"/>
    <w:multiLevelType w:val="multilevel"/>
    <w:tmpl w:val="9022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A65606"/>
    <w:multiLevelType w:val="hybridMultilevel"/>
    <w:tmpl w:val="1DCC97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C580503"/>
    <w:multiLevelType w:val="multilevel"/>
    <w:tmpl w:val="DDA6BC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D947BFC"/>
    <w:multiLevelType w:val="hybridMultilevel"/>
    <w:tmpl w:val="A796AA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51C82973"/>
    <w:multiLevelType w:val="multilevel"/>
    <w:tmpl w:val="D79AF0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504975965">
    <w:abstractNumId w:val="8"/>
  </w:num>
  <w:num w:numId="2" w16cid:durableId="461070781">
    <w:abstractNumId w:val="1"/>
  </w:num>
  <w:num w:numId="3" w16cid:durableId="244804199">
    <w:abstractNumId w:val="6"/>
  </w:num>
  <w:num w:numId="4" w16cid:durableId="1802532378">
    <w:abstractNumId w:val="0"/>
  </w:num>
  <w:num w:numId="5" w16cid:durableId="655230946">
    <w:abstractNumId w:val="4"/>
  </w:num>
  <w:num w:numId="6" w16cid:durableId="452209928">
    <w:abstractNumId w:val="7"/>
  </w:num>
  <w:num w:numId="7" w16cid:durableId="551889346">
    <w:abstractNumId w:val="5"/>
  </w:num>
  <w:num w:numId="8" w16cid:durableId="401949670">
    <w:abstractNumId w:val="3"/>
  </w:num>
  <w:num w:numId="9" w16cid:durableId="1123579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404"/>
    <w:rsid w:val="00000A40"/>
    <w:rsid w:val="00004E5E"/>
    <w:rsid w:val="000508DB"/>
    <w:rsid w:val="00051C0B"/>
    <w:rsid w:val="0006101C"/>
    <w:rsid w:val="000737DF"/>
    <w:rsid w:val="000838B0"/>
    <w:rsid w:val="00085B11"/>
    <w:rsid w:val="00093697"/>
    <w:rsid w:val="000A1456"/>
    <w:rsid w:val="000B2F2E"/>
    <w:rsid w:val="000B401A"/>
    <w:rsid w:val="000B507D"/>
    <w:rsid w:val="000C42B6"/>
    <w:rsid w:val="000D3FC4"/>
    <w:rsid w:val="000E0349"/>
    <w:rsid w:val="000E66B7"/>
    <w:rsid w:val="000E7A5B"/>
    <w:rsid w:val="000F0681"/>
    <w:rsid w:val="000F1BCD"/>
    <w:rsid w:val="000F7712"/>
    <w:rsid w:val="00102B50"/>
    <w:rsid w:val="001266F7"/>
    <w:rsid w:val="0015773C"/>
    <w:rsid w:val="00161B8E"/>
    <w:rsid w:val="00161B93"/>
    <w:rsid w:val="0016715F"/>
    <w:rsid w:val="00174459"/>
    <w:rsid w:val="00184BA6"/>
    <w:rsid w:val="00192A32"/>
    <w:rsid w:val="0019506E"/>
    <w:rsid w:val="00195DDE"/>
    <w:rsid w:val="001C2B08"/>
    <w:rsid w:val="001C5AD6"/>
    <w:rsid w:val="001D3E1F"/>
    <w:rsid w:val="001E22CC"/>
    <w:rsid w:val="001F2793"/>
    <w:rsid w:val="002024FF"/>
    <w:rsid w:val="002057A6"/>
    <w:rsid w:val="00217B0F"/>
    <w:rsid w:val="0022748C"/>
    <w:rsid w:val="00251305"/>
    <w:rsid w:val="002539F4"/>
    <w:rsid w:val="0026060C"/>
    <w:rsid w:val="00266353"/>
    <w:rsid w:val="00272F6D"/>
    <w:rsid w:val="002763DD"/>
    <w:rsid w:val="00280AC1"/>
    <w:rsid w:val="00282A39"/>
    <w:rsid w:val="0029059A"/>
    <w:rsid w:val="002B08B2"/>
    <w:rsid w:val="002C4BF1"/>
    <w:rsid w:val="002E0342"/>
    <w:rsid w:val="002E268F"/>
    <w:rsid w:val="002F3155"/>
    <w:rsid w:val="002F53FB"/>
    <w:rsid w:val="002F543D"/>
    <w:rsid w:val="002F6793"/>
    <w:rsid w:val="003127EA"/>
    <w:rsid w:val="003137E5"/>
    <w:rsid w:val="00315534"/>
    <w:rsid w:val="00315BD9"/>
    <w:rsid w:val="003362A6"/>
    <w:rsid w:val="00337B50"/>
    <w:rsid w:val="003411DF"/>
    <w:rsid w:val="003414F8"/>
    <w:rsid w:val="00342734"/>
    <w:rsid w:val="0034649E"/>
    <w:rsid w:val="00371A6D"/>
    <w:rsid w:val="00371EE3"/>
    <w:rsid w:val="003A4F9A"/>
    <w:rsid w:val="003B21A7"/>
    <w:rsid w:val="003B3EFA"/>
    <w:rsid w:val="003C1FF4"/>
    <w:rsid w:val="003C51B7"/>
    <w:rsid w:val="003E034A"/>
    <w:rsid w:val="003E1B84"/>
    <w:rsid w:val="003E4032"/>
    <w:rsid w:val="003E6B79"/>
    <w:rsid w:val="003F1EEE"/>
    <w:rsid w:val="003F33C3"/>
    <w:rsid w:val="00401244"/>
    <w:rsid w:val="00402201"/>
    <w:rsid w:val="00405036"/>
    <w:rsid w:val="004121F6"/>
    <w:rsid w:val="0041490C"/>
    <w:rsid w:val="00417A9B"/>
    <w:rsid w:val="004279B9"/>
    <w:rsid w:val="0044068B"/>
    <w:rsid w:val="00440FED"/>
    <w:rsid w:val="00442314"/>
    <w:rsid w:val="004544EE"/>
    <w:rsid w:val="004550CC"/>
    <w:rsid w:val="004618EB"/>
    <w:rsid w:val="0048084A"/>
    <w:rsid w:val="00492450"/>
    <w:rsid w:val="00494B6E"/>
    <w:rsid w:val="004A34F2"/>
    <w:rsid w:val="004A5F99"/>
    <w:rsid w:val="004C53EC"/>
    <w:rsid w:val="004E745E"/>
    <w:rsid w:val="00502DC0"/>
    <w:rsid w:val="005235A1"/>
    <w:rsid w:val="00523A42"/>
    <w:rsid w:val="005268EF"/>
    <w:rsid w:val="00537D0A"/>
    <w:rsid w:val="00581D6C"/>
    <w:rsid w:val="005A532C"/>
    <w:rsid w:val="005B33A0"/>
    <w:rsid w:val="005C4DEB"/>
    <w:rsid w:val="005D1A16"/>
    <w:rsid w:val="005D1D8C"/>
    <w:rsid w:val="005E3A10"/>
    <w:rsid w:val="005F5B9D"/>
    <w:rsid w:val="00607B90"/>
    <w:rsid w:val="00623CAB"/>
    <w:rsid w:val="006604BD"/>
    <w:rsid w:val="0066589E"/>
    <w:rsid w:val="00671770"/>
    <w:rsid w:val="00684556"/>
    <w:rsid w:val="0069169E"/>
    <w:rsid w:val="006A6216"/>
    <w:rsid w:val="006B3892"/>
    <w:rsid w:val="006C06A9"/>
    <w:rsid w:val="006C0A85"/>
    <w:rsid w:val="006D376E"/>
    <w:rsid w:val="006D4E53"/>
    <w:rsid w:val="006D7035"/>
    <w:rsid w:val="006E38C5"/>
    <w:rsid w:val="006E7520"/>
    <w:rsid w:val="006E7C9B"/>
    <w:rsid w:val="006F15C4"/>
    <w:rsid w:val="006F543D"/>
    <w:rsid w:val="00705FA7"/>
    <w:rsid w:val="00707531"/>
    <w:rsid w:val="00723249"/>
    <w:rsid w:val="0077186A"/>
    <w:rsid w:val="00774F34"/>
    <w:rsid w:val="00782D8C"/>
    <w:rsid w:val="00784C1B"/>
    <w:rsid w:val="007960C2"/>
    <w:rsid w:val="007C086E"/>
    <w:rsid w:val="007C1910"/>
    <w:rsid w:val="007D194D"/>
    <w:rsid w:val="007E417B"/>
    <w:rsid w:val="007E4BD7"/>
    <w:rsid w:val="007E66A1"/>
    <w:rsid w:val="008155C6"/>
    <w:rsid w:val="0084009F"/>
    <w:rsid w:val="00840830"/>
    <w:rsid w:val="00843602"/>
    <w:rsid w:val="008505FC"/>
    <w:rsid w:val="00862EBC"/>
    <w:rsid w:val="00876462"/>
    <w:rsid w:val="008814E8"/>
    <w:rsid w:val="00884919"/>
    <w:rsid w:val="0088606D"/>
    <w:rsid w:val="00894526"/>
    <w:rsid w:val="0089556F"/>
    <w:rsid w:val="00895A69"/>
    <w:rsid w:val="008C270B"/>
    <w:rsid w:val="008C27D5"/>
    <w:rsid w:val="008E5F10"/>
    <w:rsid w:val="008F1493"/>
    <w:rsid w:val="008F1B04"/>
    <w:rsid w:val="008F4791"/>
    <w:rsid w:val="00900BA7"/>
    <w:rsid w:val="0091331D"/>
    <w:rsid w:val="009202FE"/>
    <w:rsid w:val="00920F39"/>
    <w:rsid w:val="00931F2B"/>
    <w:rsid w:val="00936BCF"/>
    <w:rsid w:val="009470C1"/>
    <w:rsid w:val="00966EAE"/>
    <w:rsid w:val="00983452"/>
    <w:rsid w:val="009870F8"/>
    <w:rsid w:val="00990F32"/>
    <w:rsid w:val="009B1D5A"/>
    <w:rsid w:val="009D019A"/>
    <w:rsid w:val="009F2CC3"/>
    <w:rsid w:val="009F7442"/>
    <w:rsid w:val="00A118CC"/>
    <w:rsid w:val="00A1487E"/>
    <w:rsid w:val="00A32885"/>
    <w:rsid w:val="00A40F8A"/>
    <w:rsid w:val="00A45649"/>
    <w:rsid w:val="00A506E3"/>
    <w:rsid w:val="00A516AB"/>
    <w:rsid w:val="00A54494"/>
    <w:rsid w:val="00A56ACC"/>
    <w:rsid w:val="00A61A39"/>
    <w:rsid w:val="00A669B2"/>
    <w:rsid w:val="00A74559"/>
    <w:rsid w:val="00A80DD1"/>
    <w:rsid w:val="00A97670"/>
    <w:rsid w:val="00AA6161"/>
    <w:rsid w:val="00AB0EE9"/>
    <w:rsid w:val="00AB62D9"/>
    <w:rsid w:val="00AC0BC8"/>
    <w:rsid w:val="00AE0255"/>
    <w:rsid w:val="00AF394D"/>
    <w:rsid w:val="00AF5470"/>
    <w:rsid w:val="00B13969"/>
    <w:rsid w:val="00B14D51"/>
    <w:rsid w:val="00B26E86"/>
    <w:rsid w:val="00B37DF1"/>
    <w:rsid w:val="00B833A0"/>
    <w:rsid w:val="00B85316"/>
    <w:rsid w:val="00BD3D4E"/>
    <w:rsid w:val="00BD6635"/>
    <w:rsid w:val="00BD6CD5"/>
    <w:rsid w:val="00BF2897"/>
    <w:rsid w:val="00BF6D0B"/>
    <w:rsid w:val="00BF6DED"/>
    <w:rsid w:val="00C15C99"/>
    <w:rsid w:val="00C16B38"/>
    <w:rsid w:val="00C27506"/>
    <w:rsid w:val="00C3245A"/>
    <w:rsid w:val="00C477CA"/>
    <w:rsid w:val="00C673BA"/>
    <w:rsid w:val="00CA45A4"/>
    <w:rsid w:val="00CB223D"/>
    <w:rsid w:val="00CC4E22"/>
    <w:rsid w:val="00CD0D24"/>
    <w:rsid w:val="00CD595B"/>
    <w:rsid w:val="00CD7676"/>
    <w:rsid w:val="00CE679B"/>
    <w:rsid w:val="00D00F14"/>
    <w:rsid w:val="00D03378"/>
    <w:rsid w:val="00D1766E"/>
    <w:rsid w:val="00D30986"/>
    <w:rsid w:val="00D30B41"/>
    <w:rsid w:val="00D46FB6"/>
    <w:rsid w:val="00D47067"/>
    <w:rsid w:val="00D568A9"/>
    <w:rsid w:val="00D842F4"/>
    <w:rsid w:val="00DA01CE"/>
    <w:rsid w:val="00DA282F"/>
    <w:rsid w:val="00DC71A0"/>
    <w:rsid w:val="00DE7143"/>
    <w:rsid w:val="00E04B4F"/>
    <w:rsid w:val="00E15325"/>
    <w:rsid w:val="00E168F4"/>
    <w:rsid w:val="00E253D5"/>
    <w:rsid w:val="00E50DA2"/>
    <w:rsid w:val="00E5258C"/>
    <w:rsid w:val="00E81764"/>
    <w:rsid w:val="00E83FED"/>
    <w:rsid w:val="00E84A44"/>
    <w:rsid w:val="00E8711A"/>
    <w:rsid w:val="00E90A98"/>
    <w:rsid w:val="00E96BEA"/>
    <w:rsid w:val="00EA04D6"/>
    <w:rsid w:val="00EA3364"/>
    <w:rsid w:val="00EA3D44"/>
    <w:rsid w:val="00EA55B7"/>
    <w:rsid w:val="00EB75A0"/>
    <w:rsid w:val="00EB7E5B"/>
    <w:rsid w:val="00EC036B"/>
    <w:rsid w:val="00EC556B"/>
    <w:rsid w:val="00ED1DED"/>
    <w:rsid w:val="00ED3BAF"/>
    <w:rsid w:val="00ED620C"/>
    <w:rsid w:val="00EE54DE"/>
    <w:rsid w:val="00EE63A2"/>
    <w:rsid w:val="00EF0E06"/>
    <w:rsid w:val="00EF696E"/>
    <w:rsid w:val="00F0247F"/>
    <w:rsid w:val="00F11FBA"/>
    <w:rsid w:val="00F14C25"/>
    <w:rsid w:val="00F1634C"/>
    <w:rsid w:val="00F27CB4"/>
    <w:rsid w:val="00F46A37"/>
    <w:rsid w:val="00F51A06"/>
    <w:rsid w:val="00F57F5A"/>
    <w:rsid w:val="00F72684"/>
    <w:rsid w:val="00F754D3"/>
    <w:rsid w:val="00F756A6"/>
    <w:rsid w:val="00F763B4"/>
    <w:rsid w:val="00F828E5"/>
    <w:rsid w:val="00F9312B"/>
    <w:rsid w:val="00FB4960"/>
    <w:rsid w:val="00FF21B2"/>
    <w:rsid w:val="00FF7404"/>
    <w:rsid w:val="00FF7734"/>
    <w:rsid w:val="00FF7F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21A54"/>
  <w15:docId w15:val="{AEA5C82D-0A35-4A5F-BF7C-CB10BA4A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3A0"/>
  </w:style>
  <w:style w:type="paragraph" w:styleId="Ttulo1">
    <w:name w:val="heading 1"/>
    <w:basedOn w:val="Normal"/>
    <w:next w:val="Normal"/>
    <w:uiPriority w:val="9"/>
    <w:qFormat/>
    <w:pPr>
      <w:keepNext/>
      <w:keepLines/>
      <w:spacing w:before="480" w:after="120"/>
      <w:outlineLvl w:val="0"/>
    </w:pPr>
    <w:rPr>
      <w:b/>
      <w:bCs/>
      <w:sz w:val="36"/>
      <w:szCs w:val="36"/>
    </w:rPr>
  </w:style>
  <w:style w:type="paragraph" w:styleId="Ttulo2">
    <w:name w:val="heading 2"/>
    <w:basedOn w:val="Normal"/>
    <w:next w:val="Normal"/>
    <w:uiPriority w:val="9"/>
    <w:unhideWhenUsed/>
    <w:qFormat/>
    <w:pPr>
      <w:keepNext/>
      <w:keepLines/>
      <w:spacing w:before="360" w:after="80"/>
      <w:outlineLvl w:val="1"/>
    </w:pPr>
    <w:rPr>
      <w:sz w:val="32"/>
      <w:szCs w:val="32"/>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rPr>
  </w:style>
  <w:style w:type="character" w:styleId="Hipervnculo">
    <w:name w:val="Hyperlink"/>
    <w:basedOn w:val="Fuentedeprrafopredeter"/>
    <w:uiPriority w:val="99"/>
    <w:unhideWhenUsed/>
    <w:rsid w:val="00A516AB"/>
    <w:rPr>
      <w:color w:val="0000FF" w:themeColor="hyperlink"/>
      <w:u w:val="single"/>
    </w:rPr>
  </w:style>
  <w:style w:type="character" w:styleId="Mencinsinresolver">
    <w:name w:val="Unresolved Mention"/>
    <w:basedOn w:val="Fuentedeprrafopredeter"/>
    <w:uiPriority w:val="99"/>
    <w:semiHidden/>
    <w:unhideWhenUsed/>
    <w:rsid w:val="00A516AB"/>
    <w:rPr>
      <w:color w:val="605E5C"/>
      <w:shd w:val="clear" w:color="auto" w:fill="E1DFDD"/>
    </w:rPr>
  </w:style>
  <w:style w:type="paragraph" w:styleId="Prrafodelista">
    <w:name w:val="List Paragraph"/>
    <w:basedOn w:val="Normal"/>
    <w:uiPriority w:val="34"/>
    <w:qFormat/>
    <w:rsid w:val="008F1493"/>
    <w:pPr>
      <w:ind w:left="720"/>
      <w:contextualSpacing/>
    </w:pPr>
  </w:style>
  <w:style w:type="paragraph" w:styleId="NormalWeb">
    <w:name w:val="Normal (Web)"/>
    <w:basedOn w:val="Normal"/>
    <w:uiPriority w:val="99"/>
    <w:semiHidden/>
    <w:unhideWhenUsed/>
    <w:rsid w:val="008F1493"/>
  </w:style>
  <w:style w:type="paragraph" w:styleId="Piedepgina">
    <w:name w:val="footer"/>
    <w:basedOn w:val="Normal"/>
    <w:link w:val="PiedepginaCar"/>
    <w:uiPriority w:val="99"/>
    <w:unhideWhenUsed/>
    <w:rsid w:val="008505F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05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yYf4HMTx1UiS17ToRmh9oA//w==">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2146</Words>
  <Characters>11803</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Abogados en Colombia</dc:creator>
  <cp:lastModifiedBy>DIEGO  ANDRES DIEGO  BARRERA</cp:lastModifiedBy>
  <cp:revision>14</cp:revision>
  <dcterms:created xsi:type="dcterms:W3CDTF">2026-07-17T13:10:00Z</dcterms:created>
  <dcterms:modified xsi:type="dcterms:W3CDTF">2026-07-17T13:37:00Z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5339a25d-cbc3-4126-b92c-fb673fbc3fe7</vt:lpwstr>
  </property>
</Properties>
</file>