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MATRIZ DATO–SOPORTE — EXPEDIENTE 1911000986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1F4E78"/>
          <w:b w:val="1"/>
          <w:bCs w:val="1"/>
        </w:rPr>
        <w:t xml:space="preserve">Control interno reservado · versión 2 · 18 de julio de 2026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rPr>
        <w:t xml:space="preserve">Regla de uso: solo los datos EVIDENCIADOS o COINCIDENTES pueden pasar al cuerpo judicial. Los datos CONTRADICTORIOS, NO VERIFICADOS o INCOMPLETOS bloquean la liberación.</w:t>
      </w:r>
    </w:p>
    <w:tbl>
      <w:tblPr>
        <w:tblW w:w="87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00"/>
        <w:gridCol w:w="2900"/>
        <w:gridCol w:w="2900"/>
        <w:gridCol w:w="1500"/>
      </w:tblGrid>
      <w:tr>
        <w:trPr>
          <w:tblHeader/>
        </w:trPr>
        <w:tc>
          <w:tcPr>
            <w:tcW w:w="14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Elemento</w:t>
            </w:r>
          </w:p>
        </w:tc>
        <w:tc>
          <w:tcPr>
            <w:tcW w:w="29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Dato</w:t>
            </w:r>
          </w:p>
        </w:tc>
        <w:tc>
          <w:tcPr>
            <w:tcW w:w="29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Archivo/página</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Certeza</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Identidad</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María Amelia Cabiedes Plata — C.C. 41.526.686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extracto pp. 1–3; CC/solicitud pp. 1, 3 y 5</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Acreedora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usa razón histórica con LTDA.; certificado registra razón vigente sin LTDA., misma sigla CREARCOOP</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certificado común pp. 1–2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 / ACTUALIZAR</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Calidad</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Deudora principal única; no aparece codeudor</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pp. 1–2; solicitud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Título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No. 1911000986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1911000986.pdf,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Obligación</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10-1911000986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pp. 1–3; 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Otorgamiento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7 de octubre de 2022</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Modalidad</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Microcrédito empresarial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pp. 1–3; 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Monto inicial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$12.000.000</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liquidación p. 1; extracto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Tasa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26,82 % E.A.; 24,00 % N.A.M.V.</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Plan</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48 cuotas de $391.222; final ordinario 7/10/2026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Liquidación pp. 1–2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Neto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$7.725.069; refinancia obligación 1911000712 y descuenta otros conceptos</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Vencimiento facial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6 de julio de 2026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Aceleración</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Cláusula 14 permite vencimiento anticipado; ejercicio y fecha no documentados</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faltan soporte y compromiso</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VERIFICADO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Instrucción capital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Campo debía reflejar lo adeudado según libros/registros</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2, cláusula 15; carta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Instrucción fecha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Cláusula 15: inicio de mora; carta separada: día de llenado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pp. 2–3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CONTRADICTORIO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Campo agencia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La instrucción ordena llenarlo, pero permanece vacío; no es requisito esencial por sí solo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pp. 1–2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INCUMPLIMIENTO FORMAL</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Capital facial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$12.000.000</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Capital a corte</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$3.745.935 al 6/7/2026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Interés de plazo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$1.670.935 al 6/7/2026, sin memoria reproducible</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Pagaré p. 1; 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INCOMPLETO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Mora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$67.662 al 6/7/2026, sin memoria reproducible</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INCOMPLETO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Compromiso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CO 1000183 del 31/1/2026 por $5.378.900</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 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INCOMPLETO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Pagos posteriores</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$832.750 el 28/4/2026 y $832.750 el 25/5/2026</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Saldo total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$5.484.532 al 6/7/2026; no actualizado a presentación</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INCOMPLETO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Domicilio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Carrera 8G No. 159B-25, Bogotá D.C., dato de 2022</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 solicitud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EVIDENCIADO/ANTIGUO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Correo</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Grafía manuscrita no suficientemente inequívoca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Solicitud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ILEGIBLE</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Pensión</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FOPEP, julio/agosto de 2022; neto histórico $1.261.086,24</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CC/soportes pp. 6–7</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EVIDENCIADO/ANTIGUO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Activo inmueble</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Declaración de vivienda propia sin matrícula ni titularidad actual</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Solicitud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VERIFICADO</w:t>
            </w:r>
          </w:p>
        </w:tc>
      </w:tr>
      <w:tr>
        <w:tc>
          <w:tcPr>
            <w:tcW w:w="1400" w:type="dxa"/>
            <w:tcMar>
              <w:top w:w="70" w:type="dxa"/>
              <w:left w:w="70" w:type="dxa"/>
              <w:bottom w:w="70" w:type="dxa"/>
              <w:right w:w="70" w:type="dxa"/>
            </w:tcMar>
          </w:tcPr>
          <w:p>
            <w:pPr>
              <w:spacing w:after="40" w:line="220" w:lineRule="auto"/>
            </w:pPr>
            <w:r>
              <w:rPr>
                <w:rFonts w:ascii="Arial" w:hAnsi="Arial" w:cs="Arial"/>
                <w:sz w:val="16"/>
                <w:szCs w:val="16"/>
              </w:rPr>
              <w:t xml:space="preserve">Personería</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Poder común a sociedad; designación de Nubia; modelo nombra Anggie</w:t>
            </w:r>
          </w:p>
        </w:tc>
        <w:tc>
          <w:tcPr>
            <w:tcW w:w="2900" w:type="dxa"/>
            <w:tcMar>
              <w:top w:w="70" w:type="dxa"/>
              <w:left w:w="70" w:type="dxa"/>
              <w:bottom w:w="70" w:type="dxa"/>
              <w:right w:w="70" w:type="dxa"/>
            </w:tcMar>
          </w:tcPr>
          <w:p>
            <w:pPr>
              <w:spacing w:after="40" w:line="220" w:lineRule="auto"/>
            </w:pPr>
            <w:r>
              <w:rPr>
                <w:rFonts w:ascii="Arial" w:hAnsi="Arial" w:cs="Arial"/>
                <w:sz w:val="16"/>
                <w:szCs w:val="16"/>
              </w:rPr>
              <w:t xml:space="preserve">Soportes comunes y modelos</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CONTRADICTORIO</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NOTAS DE LECTURA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1. Las fechas del cronograma se leen en formato mes/día/año: la cuota 48 figura 10/07/2026, es decir, 7 de octubre de 2026. El pagaré y el extracto usan 6 de julio de 2026 como corte/vencimiento.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2. El archivo 1911000986.pdf sin el prefijo “PAGARÉ” se conserva para trazabilidad, pero no es el título seleccionado ni debe incluirse en el índice judicial. Es visualmente altamente consistente con el instrumento antes de llenarse, pero los metadatos de los PDF no prueban cuándo se escribieron físicamente los campos ni sustituyen original, custodia o peritaje.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3. El acta de diligenciamiento, la certificación contable y la certificación de custodia no son solemnidades universales del pagaré. En este caso son soportes probatorios internos necesarios para resolver contradicciones concretas.</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