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 w:val="1"/>
          <w:bCs w:val="1"/>
          <w:sz w:val="32"/>
          <w:szCs w:val="32"/>
        </w:rPr>
        <w:t xml:space="preserve">MEMORIA DE LIQUIDACIÓN Y RECONCILIACIÓN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Expediente 1911000986 · plantilla de trabajo; no es certificación contable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DATOS DE PARTIDA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Monto inicial: $12.000.000. Desembolso: 7/10/2022. Tasa contractual: 26,82 % E.A. / 24,00 % N.A.M.V. Plan: 48 cuotas de $391.222. Interés total proyectado del cronograma: $6.778.656. Vencimiento ordinario final: 7/10/2026.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Neto a desembolsar: $7.725.069, después de Fondo de Solidaridad $180.000, estudio de crédito $12.000, Ley Mipyme $373.100 y refinanciación de la obligación 1911000712 por capital $3.699.531, mora $1.337 e interés $8.963.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CORTE DISPONIBLE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Extracto al 6/7/2026: capital $3.745.935; interés $1.670.935; mora $67.662; total $5.484.532. El capital es reproducible exactamente ($12.000.000 − $8.254.065). El interés y la mora no lo son con esta impresión: en mora, $1.395.694 de cargos menos $1.385.813 de abonos da $9.881, cifra inferior en $57.781 al saldo informado.</w:t>
      </w:r>
    </w:p>
    <w:tbl>
      <w:tblPr>
        <w:tblW w:w="87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100"/>
        <w:gridCol w:w="1500"/>
        <w:gridCol w:w="2100"/>
        <w:gridCol w:w="2800"/>
        <w:gridCol w:w="1200"/>
      </w:tblGrid>
      <w:tr>
        <w:trPr>
          <w:tblHeader/>
        </w:trPr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Comprobante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Movimiento</w:t>
            </w:r>
          </w:p>
        </w:tc>
        <w:tc>
          <w:tcPr>
            <w:tcW w:w="28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Aplicación visible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Fuente</w:t>
            </w:r>
          </w:p>
        </w:tc>
      </w:tr>
      <w:tr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7/10/2022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NA 11000216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Creación crédito</w:t>
            </w:r>
          </w:p>
        </w:tc>
        <w:tc>
          <w:tcPr>
            <w:tcW w:w="2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$12.000.000 cargo capital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Extracto p. 1</w:t>
            </w:r>
          </w:p>
        </w:tc>
      </w:tr>
      <w:tr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31/1/2026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 1000183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Generación compromiso de pago</w:t>
            </w:r>
          </w:p>
        </w:tc>
        <w:tc>
          <w:tcPr>
            <w:tcW w:w="2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$4.970.391 abono capital + $408.509 abono mora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Extracto p. 2</w:t>
            </w:r>
          </w:p>
        </w:tc>
      </w:tr>
      <w:tr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28/4/2026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CB 126013904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Recaudo Efecty</w:t>
            </w:r>
          </w:p>
        </w:tc>
        <w:tc>
          <w:tcPr>
            <w:tcW w:w="2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$150.772 interés + $681.978 mora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Extracto p. 3</w:t>
            </w:r>
          </w:p>
        </w:tc>
      </w:tr>
      <w:tr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25/5/2026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CB 126016683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Recaudo Efecty</w:t>
            </w:r>
          </w:p>
        </w:tc>
        <w:tc>
          <w:tcPr>
            <w:tcW w:w="2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$797.008 interés + $35.742 mora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Extracto p. 3</w:t>
            </w:r>
          </w:p>
        </w:tc>
      </w:tr>
      <w:tr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6/7/2026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Corte</w:t>
            </w:r>
          </w:p>
        </w:tc>
        <w:tc>
          <w:tcPr>
            <w:tcW w:w="2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Saldo de sistema</w:t>
            </w:r>
          </w:p>
        </w:tc>
        <w:tc>
          <w:tcPr>
            <w:tcW w:w="28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$3.745.935 capital + $1.670.935 interés + $67.662 mora</w:t>
            </w:r>
          </w:p>
        </w:tc>
        <w:tc>
          <w:tcPr>
            <w:tcW w:w="1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Extracto p. 3</w:t>
            </w:r>
          </w:p>
        </w:tc>
      </w:tr>
    </w:tbl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PREGUNTAS CONTABLES OBLIGATORIAS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a) ¿Qué cuenta o concepto debitó y acreditó CO 1000183? ¿El abono de $4.970.391 redujo definitivamente capital, lo trasladó a otra cuenta o quedó condicionado?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b) ¿Por qué los pagos de abril y mayo de 2026 no se aplicaron a capital? Identificar regla contractual y saldo antes/después.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c) ¿Qué parte de $1.670.935 corresponde a remuneratorios ya causados al 6/7/2026 y qué parte, si alguna, corresponde a intereses futuros del cronograma?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d) ¿Cómo se obtienen los $67.662 de mora si la resta de cargos $1.395.694 y abonos $1.385.813 arroja $9.881? Explicar la diferencia de $57.781 e informar base diaria, fechas, modalidad y redondeos.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e) ¿Hubo pagos, descuentos, condonaciones, seguros, subrogaciones o ajustes después del 6/7/2026?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ESTRUCTURA DEL ARCHIVO REPRODUCIBLE</w:t>
      </w:r>
    </w:p>
    <w:tbl>
      <w:tblPr>
        <w:tblW w:w="88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100"/>
        <w:gridCol w:w="1900"/>
        <w:gridCol w:w="1900"/>
        <w:gridCol w:w="2200"/>
        <w:gridCol w:w="1700"/>
      </w:tblGrid>
      <w:tr>
        <w:trPr>
          <w:tblHeader/>
        </w:trPr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Concepto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Cargo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Pago/aplicación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Saldo</w:t>
            </w:r>
          </w:p>
        </w:tc>
      </w:tr>
      <w:tr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Fecha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Comprobante y concepto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Débito/cargo por rubro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Pago/aplicación por rubro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Saldo posterior por rubro</w:t>
            </w:r>
          </w:p>
        </w:tc>
      </w:tr>
      <w:tr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[dd/mm/aaaa]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[número + soporte]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Capital [ ]; rem. [ ]; mora [ ]; otros [ ]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Capital [ ]; rem. [ ]; mora [ ]; otros [ 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Capital [ ]; rem. [ ]; mora [ ]; total [ ]</w:t>
            </w:r>
          </w:p>
        </w:tc>
      </w:tr>
      <w:tr>
        <w:tc>
          <w:tcPr>
            <w:tcW w:w="11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…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Una fila por movimiento</w:t>
            </w:r>
          </w:p>
        </w:tc>
        <w:tc>
          <w:tcPr>
            <w:tcW w:w="1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Sin agrupaciones opacas</w:t>
            </w:r>
          </w:p>
        </w:tc>
        <w:tc>
          <w:tcPr>
            <w:tcW w:w="22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Aplicación exacta en su fecha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Fórmula verificable</w:t>
            </w:r>
          </w:p>
        </w:tc>
      </w:tr>
    </w:tbl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REGLAS DE CÁLCULO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Aplicar cada pago en su fecha y según la regla contractual demostrada. Mantener columnas separadas de capital, remuneratorios, mora, seguros y otros. No superponer remuneratorios y moratorios sobre la misma base y período. No capitalizar intereses salvo presupuesto legal probado. Indicar fórmula de conversión de tasa y días usados.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pretensión de remuneratorios solo puede incluir lo efectivamente causado hasta la exigibilidad. La mora futura solo puede calcularse sobre el capital insoluto certificado, desde el día siguiente a la fecha de exigibilidad validada y sujeta al máximo legal aplicable.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 contador debe certificar hechos y registros contables; el equipo jurídico debe calificar los efectos de novación, aceleración y exigibilidad. Ninguno debe sustituir el análisis del otro.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yYf4HMTx1UiS17ToRmh9oA//w==">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2146</Words>
  <Characters>11803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Abogados en Colombia</dc:creator>
  <cp:lastModifiedBy>DIEGO  ANDRES DIEGO  BARRERA</cp:lastModifiedBy>
  <cp:revision>14</cp:revision>
  <dcterms:created xsi:type="dcterms:W3CDTF">2026-07-17T13:10:00Z</dcterms:created>
  <dcterms:modified xsi:type="dcterms:W3CDTF">2026-07-17T13:37:00Z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5339a25d-cbc3-4126-b92c-fb673fbc3fe7</vt:lpwstr>
  </property>
</Properties>
</file>