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FORMATOS Y ORDEN DE SUBSANACIÓN — EXPEDIENTE 1912000810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Uso interno · completar solo con hechos y soportes reales · prohibido antedatar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1. ORDEN DE CIERRE</w:t>
      </w:r>
    </w:p>
    <w:tbl>
      <w:tblPr>
        <w:tblW w:w="865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50"/>
        <w:gridCol w:w="2300"/>
        <w:gridCol w:w="3300"/>
        <w:gridCol w:w="1500"/>
        <w:gridCol w:w="900"/>
      </w:tblGrid>
      <w:tr>
        <w:trPr>
          <w:tblHeader/>
        </w:trP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Orden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Soporte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Debe resolver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 1000434 y CO 1000183 completos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Naturaleza, efecto, plazo, incumplimiento y subsistencia del título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Cartera/Jurídica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Certificación contable + cálculo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 actual, interés, mora, pagos y diferencias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Contabilidad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Aceleración y llenado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Evento, ejercicio, fecha 6/7/2026 e instrucciones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Cartera/Jurídica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4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Original y custodia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Ubicación, no circulación, trazabilidad y exhibición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Custodia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5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Certificado CREARCOOP vigente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Continuidad, representación, domicilio y correo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Secretaría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Poder especial para ambos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Pagaré, obligación, apoderada, RNA y facultades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Representante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7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Contrato, anexos y desembolso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Pacto arbitral, reglas adicionales y entrega efectiva del crédito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Archivo/Jurídica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8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Consultas oficiales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Insolvencia, sucesión y procesos de ambos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9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Notificación actual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Direcciones; emails solo con prueba y juramento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Cartera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10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CCB/RUES actual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Titularidad y estado de APETITOZOS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Jurídica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  <w:tr>
        <w:tc>
          <w:tcPr>
            <w:tcW w:w="6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11</w:t>
            </w:r>
          </w:p>
        </w:tc>
        <w:tc>
          <w:tcPr>
            <w:tcW w:w="2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Último pago</w:t>
            </w:r>
          </w:p>
        </w:tc>
        <w:tc>
          <w:tcPr>
            <w:tcW w:w="33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Saldo, cuantía, pretensiones y límite el día de presentar</w:t>
            </w:r>
          </w:p>
        </w:tc>
        <w:tc>
          <w:tcPr>
            <w:tcW w:w="15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Contabilidad</w:t>
            </w:r>
          </w:p>
        </w:tc>
        <w:tc>
          <w:tcPr>
            <w:tcW w:w="9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ROJO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2. PODER ESPECIAL DIRECTO — RUTA PREFERENTE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[REPRESENTANTE LEGAL VIGENTE, C.C. Y CALIDAD SEGÚN CERTIFICADO ACTUAL], actuando en representación de la COOPERATIVA DE AHORRO Y CRÉDITO CREAR — CREARCOOP, NIT 890.981.459-4, confiere poder especial a [ABOGADA, C.C., T.P. Y CORREO RNA] para promover y llevar hasta su terminación proceso ejecutivo de mínima cuantía contra NELSON DAVID PARADA RINCÓN, C.C. 1.033.755.601, y CAMILO ANDREY PARADA RINCÓN, C.C. 1.018.459.638, con fundamento en el pagaré No. 1912000810 y la obligación No. 10-1912000810, incluidas medidas cautelares.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Enumerar solo facultades especiales realmente autorizadas. Conservar mensaje de datos original, encabezados, adjuntos, fecha/hora y aceptación. El correo de la abogada debe coincidir con el Registro Nacional de Abogados. Si se usa una sociedad de abogados, verificar y documentar la ruta del artículo 75 del CGP; no mezclar rutas.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3. CERTIFICACIÓN CONTABLE Y ARCHIVO REPRODUCIBLE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Yo, [NOMBRE, CALIDAD E IDENTIFICACIÓN], con acceso autorizado a [SISTEMA/FUENTES], certifico que revisé la obligación No. 10-1912000810 y que el archivo adjunto reproduce todos los movimientos desde el 19 de agosto de 2022 hasta [FECHA/HORA DE CORTE]. El saldo a ese corte es: capital $[●], remuneratorios causados $[●], mora $[●], otros $[●], total $[●]. Desde ese corte [NO HUBO/HUBO] pagos o ajustes: [DETALLE].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certificación debe distinguir pagos RC, notas NC, movimientos CO y cualquier otro tipo de comprobante, sin llamar pago a una aplicación interna. Debe explicar documentalmente: (a) $12.000.000 − $8.881.008 = $3.118.992 al 6/7/2026; (b) por qué $6.802.185 de interés programado menos $3.086.131 de créditos visibles arroja $3.716.054, cifra superior en $128.796 al saldo informado de $3.587.258, qué parte estaba efectivamente causada y cuál era futura, condonada o reliquidada; (c) la diferencia de $55.871 en mora; (d) CO 1000434 por $870.900; (e) CO 1000183 por $6.169.946; (f) la inexistencia o detalle de pagos posteriores al 18/12/2023; y (g) bases, fechas, tasas, días, fórmula y aplicación de cada movimiento.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4. CONSTANCIA DE ACELERACIÓN, DILIGENCIAMIENTO Y CUSTODIA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Si la constancia se elabora ahora, titularla ‘reconstrucción ex post’ e identificar persona, conocimiento y registros consultados. No afirmar hechos no documentados. Debe responder quién, cuándo, dónde y con qué fuente completó cada campo; cuál fue el evento concreto de vencimiento anticipado; cómo y cuándo CREARCOOP ejerció la cláusula; por qué se usó 6/7/2026; y cómo se resolvió la contradicción entre inicio de mora y día de llenado.</w:t>
      </w:r>
    </w:p>
    <w:tbl>
      <w:tblPr>
        <w:tblW w:w="88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150"/>
        <w:gridCol w:w="1400"/>
        <w:gridCol w:w="1750"/>
        <w:gridCol w:w="1400"/>
        <w:gridCol w:w="1400"/>
        <w:gridCol w:w="1700"/>
      </w:tblGrid>
      <w:tr>
        <w:trPr>
          <w:tblHeader/>
        </w:trP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Instrucción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Fuente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Dato insertado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Persona/fecha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Agencia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Agencia de solicitud/radicación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 llenado]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Otorgamiento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 en PDF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Desembolso/obligación más antigua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19/8/2022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19-08-22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Capital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 en PDF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Adeudado según registros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[saldo al llenar]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$12.000.000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Interés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 en PDF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Adeudado según registros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[memoria]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$3.587.258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Tasa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 en PDF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Política/contrato/límite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[soporte]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26,82 %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  <w:tr>
        <w:tc>
          <w:tcPr>
            <w:tcW w:w="11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Vencimiento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En blanco en PDF previo</w:t>
            </w:r>
          </w:p>
        </w:tc>
        <w:tc>
          <w:tcPr>
            <w:tcW w:w="175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Inicio mora / día de llenado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[evento]</w:t>
            </w:r>
          </w:p>
        </w:tc>
        <w:tc>
          <w:tcPr>
            <w:tcW w:w="14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6/7/2026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[persona/fecha]</w:t>
            </w:r>
          </w:p>
        </w:tc>
      </w:tr>
    </w:tbl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Agregar ubicación física del original, responsables y transferencias de custodia, controles de acceso, hash del escaneo, no endoso/no circulación y disponibilidad para exhibición. Explicar por qué CAPITAL quedó en $12.000.000 mientras los registros al corte muestran $3.118.992 y por qué AGENCIA quedó vacía.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5. DOCUMENTOS CO 1000434 Y CO 1000183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Aportar documentos completos, anexos, comunicaciones, autorizaciones y asientos antes/después. Jurídica debe definir si cada movimiento fue pago, condonación, acuerdo, reestructuración, traslado, castigo, novación o ajuste; qué plazo creó; si hubo condición de reviviscencia; cómo se incumplió; por qué el pagaré conservó exigibilidad; y quién lo aceptó. Analizar por separado sus efectos frente a Nelson y Camilo. Contabilidad certifica registros; jurídica califica efectos.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6. CERTIFICADO DE CREARCOOP, CONTRATO Y JURISDICCIÓN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Obtener certificado vigente que pruebe razón social actual, continuidad de la denominación histórica, representante, domicilio, correos y facultades. Revisar contrato, reglamento, anexos, solicitudes, pagaré, instrucciones, compromiso y mensajes para identificar o descartar pacto arbitral aplicable al ejecutivo. Dejar inventario fechado de lo revisado.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7. NOTIFICACIONES Y CONSULTAS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Actualizar por fuentes lícitas la dirección física de ambos obligados. Un correo solo se usa con evidencia de titularidad/uso y con la explicación juramentada del artículo 8 de la Ley 2213; las grafías manuscritas históricas no bastan. En el día de radicación documentar consultas de insolvencia, negociación de deudas, liquidación patrimonial, fallecimiento/sucesión y procesos paralelos de ambos demandados.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8. CAUTELA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Solicitar certificado reciente de matrícula mercantil de Nelson y APETITOZOS. Confirmar titular, estado, dirección, gravámenes y canal oficial de la Cámara. Calcular límite con saldo del día. Si la matrícula no está activa o Nelson no es titular, retirar íntegramente la cautelar y no usar su excepción de envío. No convertir la referencia manuscrita de la solicitud de Camilo a un negocio en una cautela sin registro actual que identifique inequívocamente establecimiento, matrícula y titular.</w:t>
      </w:r>
    </w:p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9. ACTA DE LIBERACIÓN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La persona que libera certificará: ‘Confronté demanda, cautelar y cada anexo; el saldo corresponde al día de presentación; no quedan campos rojos, corchetes, alternativas ni datos de otro expediente; el título descartado no fue anexado como título; las fuentes jurídicas decisivas fueron revalidadas; y el paquete queda APTO PARA REVISIÓN Y FIRMA HUMANA’.</w:t>
      </w:r>
    </w:p>
    <w:tbl>
      <w:tblPr>
        <w:tblW w:w="89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1600"/>
        <w:gridCol w:w="4700"/>
        <w:gridCol w:w="1000"/>
        <w:gridCol w:w="1600"/>
      </w:tblGrid>
      <w:tr>
        <w:trPr>
          <w:tblHeader/>
        </w:trP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Control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Criterio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Partes/personería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Identidad, calidades, certificado, poder para ambos, RNA y firma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Jurisdicción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Domicilio, competencia, contrato/anexos y pacto arbitral revisados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Título/exigibilidad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Original, custodia, llenado, CO, evento y fecha únicos probados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Liquidación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Saldo actual, pagos y ajustes reproducibles; sin rubros futuros/dobles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Insolvencia/notificación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Consultas de ambos, canales actuales y evidencia Ley 2213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  <w:tr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Cautela/higiene</w:t>
            </w:r>
          </w:p>
        </w:tc>
        <w:tc>
          <w:tcPr>
            <w:tcW w:w="4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CCB, titularidad, límite, anexos y cero campos o datos ajenos</w:t>
            </w:r>
          </w:p>
        </w:tc>
        <w:tc>
          <w:tcPr>
            <w:tcW w:w="10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 ]</w:t>
            </w:r>
          </w:p>
        </w:tc>
        <w:tc>
          <w:tcPr>
            <w:tcW w:w="1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6"/>
                <w:szCs w:val="16"/>
              </w:rPr>
              <w:t xml:space="preserve">[folio]</w:t>
            </w:r>
          </w:p>
        </w:tc>
      </w:tr>
    </w:tbl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