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 w:val="1"/>
          <w:bCs w:val="1"/>
          <w:sz w:val="32"/>
          <w:szCs w:val="32"/>
        </w:rPr>
        <w:t xml:space="preserve">INFORME INTEGRAL DE CONTROL — EXPEDIENTE 1912000833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Ángela Yisela Restrepo Varón y José Efraín Hincapié Villa · versión 2 · 18 de julio de 2026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DECISIÓN: ROJO — NO APTO PARA FIRMA NI RADICACIÓN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paquete queda estructurado para precierre, no para presentación. Deben cerrarse saldo, movimientos internos, exigibilidad, llenado, custodia, personería, jurisdicción, notificaciones y cautela. Cada control rojo impide liberar el Word.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CONCLUSIÓN EJECUTIVA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pagaré No. 1912000833 identifica a ÁNGELA YISELA RESTREPO VARÓN, C.C. 1.033.789.770, como deudora, y a JOSÉ EFRAÍN HINCAPIÉ VILLA, C.C. 1.061.655.910, como codeudor. Ambos firmaron y estamparon huella en el pagaré y en la carta separada; el texto contiene obligación solidaria e indivisible.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extracto al 6 de julio de 2026 permite conciliar mecánicamente el capital: $6.000.000 menos $2.117.348 de créditos o aplicaciones contables equivale a $3.882.652. Esa cifra no es definitiva hasta explicar el movimiento CO 1000142 de 31 de enero de 2024 por $72.891. Si ese CO no fue extintivo, el cálculo diagnóstico sería $3.955.543; no es una pretensión alternativa. No debe reclamarse el capital facial de $6.000.000 ni escogerse saldo sin soporte.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interés de plazo informado, $852.162, coincide exactamente entre pagaré y extracto, pero no se reproduce: el plan registra $3.600.588 de interés programado y el extracto muestra $2.399.491 de créditos, cuya diferencia es $1.201.097. Deben explicarse $348.935 y separarse interés causado, futuro, condonado o reliquidado. La mora tampoco concilia: $1.346.743 de cargos menos $21.824 de créditos da $1.324.919, no $1.421.444; faltan $96.525 en el detalle.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fecha de vencimiento insertada, 6 de julio de 2026, es posterior al vencimiento ordinario del plan, 20 de septiembre de 2025. Ello no prueba cuándo se diligenció materialmente el título ni descarta una mora o aceleración anterior. Deben acreditarse la primera mora relevante, cualquier prórroga o compromiso y la fecha real de llenado.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razón impresa en el título es COOPERATIVA DE AHORRO Y CRÉDITO CREAR LTDA. Un certificado común de 5 de febrero de 2026, ajeno al expediente individual, informa la razón COOPERATIVA DE AHORRO Y CRÉDITO CREAR, sigla CREARCOOP, NIT 890.981.459-4. Debe obtenerse y anexarse certificado vigente que pruebe continuidad, representación y canales al presentar.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SELECCIÓN Y ANÁLISIS FORENSE DEL TÍTULO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Título seleccionado: PAGARÉ 1912000833.pdf, tres páginas, SHA-256 d1404c1ee17417294da5a5ef6c844bc10ca2482cfe59050f4b1ebda9b1abc1b8. Archivo descartado como título: 1912000833.pdf, SHA-256 0bf108a2fba057141c6821cdcdade9265bd90024fee1e2b93b1565f5f7da99d0. El segundo se conserva solo para auditoría de trazabilidad.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archivo seleccionado fue procesado por iLovePDF el 16 de julio de 2026 y mezcla página 1 A4 con páginas 2 y 3 tamaño carta; el anterior fue creado el 30 de mayo de 2024 y tiene tres páginas carta. La página 1 actual es una nueva digitalización diligenciada, mientras las imágenes de las páginas 2 y 3 son idénticas byte por byte a las anteriores. En la página 1 previa ya constaban 20-09-22 y 1912000833; estaban en blanco agencia, capital, interés, tasa, vencimiento, nombres e identificaciones, y no figuraba ‘36 cuotas mensuales’. La composición es compatible con llenado posterior autorizado, pero no prueba fecha, persona, fuente ni identidad física del original.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DATO–SOPORTE</w:t>
      </w:r>
    </w:p>
    <w:tbl>
      <w:tblPr>
        <w:tblW w:w="88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500"/>
        <w:gridCol w:w="3200"/>
        <w:gridCol w:w="2600"/>
        <w:gridCol w:w="1500"/>
      </w:tblGrid>
      <w:tr>
        <w:trPr>
          <w:tblHeader/>
        </w:trP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Dato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Deudora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Ángela Yisela Restrepo Varón — C.C. 1.033.789.770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Pagaré pp. 1–3; extracto; CC p. 5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Coincidente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Codeudor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José Efraín Hincapié Villa — C.C. 1.061.655.910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Pagaré pp. 1–3; CC p. 8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Coincidente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Título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Pagaré No. 1912000833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PAGARÉ 1912000833.pdf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Evidenciado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Obligación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10-1912000833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Extracto y liquidación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Coincidente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Otorgamiento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20 de septiembre de 2022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Pagaré p. 1; liquidación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Coincidente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Aprobación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$6.000.000; microempresarial nuevos informales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Liquidación p. 1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Evidenciado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Neto registrado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$5.478.000 como ‘neto a desembolsar’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Liquidación p. 1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Recibo autónomo pendiente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Plan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36 cuotas de $266.683; final 20/9/2025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Liquidación pp. 1–2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Evidenciado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Tasa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33,60 % N.A.M.V. / 39,29 % E.A., fija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Liquidación y pagaré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Coincidente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Vencimiento facial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6 de julio de 2026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Pagaré p. 1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Posterior al plan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Capital facial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$6.000.000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Pagaré p. 1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Contradice saldo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Capital a corte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$3.882.652 al 6/7/2026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Extracto p. 3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Mecánico; CO pendiente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Interés informado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$852.162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Pagaré y extracto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No reproducible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Mora informada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$1.421.444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Extracto p. 3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No reproducible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Nombre Ángela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Prevalece Yisela; certificación p. 9 escribe Yissela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CC p. 5 vs. certificación p. 9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Usar cédula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Direcciones Ángela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Cliente: ‘MZ 24 SUR No 15 LO’; residencia Lote 15 manzana 29; negocio Dg 78 D Bis No. 26-08 Sur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Liquidación p. 1; solicitud p. 3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Tres datos 2022 / territorio invertido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Dirección José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Carrera 2 No. 3-45, casa 14, Pueblo Viejo [histórica/manuscrita]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Solicitud p. 6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Municipio/departamento dudosos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Actividad José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Cr 2 No. 3-45, Pueblo Viejo; campos sugieren Cota/Cundinamarca sin certeza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Solicitud p. 6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Pista 2022 / no corregir por inferencia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CC José en soportes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Prevalece 1.061.655.910; solicitud dice 1.061.655.940 y carta comercial 1.061.651.910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CC pp. 6, 8 y 10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Contradictorio / usar cédula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Fecha solicitud José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12/9/2020 en p. 6; continuación/entrevista 12/9/2022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CC pp. 6–7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Contradictorio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Vehículo José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Nissan, placa FLJ238, $33.300.000 declarado; ‘1998’ en campo Moneda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Solicitud p. 7; carta p. 10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Histórico / modelo incierto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Terceros</w:t>
            </w:r>
          </w:p>
        </w:tc>
        <w:tc>
          <w:tcPr>
            <w:tcW w:w="3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Víctor Muñoz: compañero, no obligado; Alejandro Cogua/Reciclajes: certificador histórico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CC pp. 4 y 9–10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No prueba pagador ni activo actual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RECONCILIACIÓN CONTABLE</w:t>
      </w:r>
    </w:p>
    <w:tbl>
      <w:tblPr>
        <w:tblW w:w="91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200"/>
        <w:gridCol w:w="1800"/>
        <w:gridCol w:w="1700"/>
        <w:gridCol w:w="1500"/>
        <w:gridCol w:w="1500"/>
        <w:gridCol w:w="1400"/>
      </w:tblGrid>
      <w:tr>
        <w:trPr>
          <w:tblHeader/>
        </w:trP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Rubro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Cargos/base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Créditos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Resta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Saldo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Concilia</w:t>
            </w:r>
          </w:p>
        </w:tc>
      </w:tr>
      <w:t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$6.000.000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$2.117.348 créditos/aplicaciones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$3.882.652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$3.882.652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Mecánico</w:t>
            </w:r>
          </w:p>
        </w:tc>
      </w:tr>
      <w:t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Interés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$3.251.653 base implícita; $3.600.588 programado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$2.399.491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$852.162 con base implícita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$852.162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Base no impresa; diferencia diagnóstica $348.935</w:t>
            </w:r>
          </w:p>
        </w:tc>
      </w:tr>
      <w:t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Mora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$1.346.743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$21.824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$1.324.919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$1.421.444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No: +$96.525</w:t>
            </w:r>
          </w:p>
        </w:tc>
      </w:tr>
      <w:tr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Total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—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—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—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$6.156.258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Solo suma rubros</w:t>
            </w:r>
          </w:p>
        </w:tc>
      </w:tr>
    </w:tbl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saldo resumen es $6.156.258: capital $3.882.652, interés $852.162 y mora $1.421.444. La suma de los tres rubros es correcta; no lo son, con la información visible, las memorias de interés y mora. El extracto tiene además errores sintácticos de estructura PDF al ser leído, aunque las tres páginas se renderizan y los datos son visibles; conviene obtener exportación nativa o certificada.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RC y CB suman $4.415.272: $2.044.457 a capital, $2.351.678 a interés y $19.137 a mora. No todos prueban recaudo externo: CB 100030121 por $239.040 dice ‘cancelación bono aut cartera’; CB 100002605 por $146.412 dice ‘CARTERA’; y CB 1200000010 por $519.820 dice ‘ABONO A CRÉDITO, COMPROMISO Y CTA HONORARIOS SOLICITA CARTERA’. La NA 1000378 por $50.500 aplica $47.813 a interés y $2.687 a mora; tampoco es pago demostrado. El último crédito visible es el CB de 6 de febrero de 2024; no hay créditos posteriores. El CO 1000142 de 31 de enero aplica $72.891 a capital. Se requieren documentos fuente, clasificación, efecto, autoría, aceptación y oponibilidad, además de determinar separadamente el último pago efectivo probado.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LLENADO, VENCIMIENTO Y PRESCRIPCIÓN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pagaré fue completado por $6.000.000 de capital, $852.162 de interés, tasa 39,29 %, treinta y seis cuotas y vencimiento 6 de julio de 2026. La instrucción incorporada ordenaba insertar como CAPITAL lo adeudado según registros y como vencimiento el inicio de mora; la carta separada ordenaba usar el día de llenado. El contraste entre capital facial y saldo contable, unido a la coincidencia del interés con el extracto, es consistente con un llenado híbrido, pero no lo prueba por sí solo. También se añadieron ‘36 cuotas mensuales’, nombres y cédulas en campos sin regla específica de llenado, aunque coinciden con las páginas firmadas; deben explicarse dentro de la misma trazabilidad.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plan muestra cuota 36 el 20 de septiembre de 2025. Si hubo compromiso o prórroga, debe aportarse y calificarse. La fecha facial llevaría en principio la acción cambiaria directa al 6 de julio de 2029, pero las cuotas y la eventual regla de inicio de mora pueden generar defensas de prescripción anteriores. El movimiento interno no prueba por sí solo reconocimiento interruptivo. Si se acredita un acto atribuible a uno de los firmantes, su eficacia frente al otro deberá analizarse conforme a los artículos 632 y 792 del Código de Comercio y 2540 del Código Civil, incluida la regla de los signatarios solidarios en un mismo grado.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SEMÁFORO DE GATES</w:t>
      </w:r>
    </w:p>
    <w:tbl>
      <w:tblPr>
        <w:tblW w:w="88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00"/>
        <w:gridCol w:w="2000"/>
        <w:gridCol w:w="1100"/>
        <w:gridCol w:w="5000"/>
      </w:tblGrid>
      <w:tr>
        <w:trPr>
          <w:tblHeader/>
        </w:trP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Gate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Razón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G0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Norma vigente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AMARILLO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Revalidar fuentes oficiales, tasas, competencia y cuantía al presentar.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G1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Identidad/legitimación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AMARILLO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Coinciden partes y título; falta certificado vigente de acreedora.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G2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Personería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Poder especial para ambos, apoderada/RNA y membrete/contactos pendientes.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G3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Jurisdicción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Contrato y anexos incompletos; control arbitral interno pendiente.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G4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Competencia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Direcciones históricas y campos territoriales inconsistentes; actualizar domicilio.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G5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Título/original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Faltan original, custodia, no circulación y trazabilidad del llenado.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G6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Llenado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Capital facial, interés coincidente con extracto, agencia vacía e instrucciones incompatibles.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G7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Exigibilidad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Plan terminó 20/9/2025; falta acuerdo/prórroga y razón del 6/7/2026.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G8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Prescripción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Facial 6/7/2029; cuotas pueden tener términos anteriores; analizar compromiso.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G9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Saldo/intereses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Capital mecánico; interés y mora no concilian; corte no actualizado.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G10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Compromiso/movimientos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Faltan CO, NA, CB ambiguos, último crédito y último pago efectivo probado.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G11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Insolvencia/procesos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No hay consultas oficiales recientes de ambos obligados.</w:t>
            </w:r>
          </w:p>
        </w:tc>
      </w:tr>
      <w:tr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G12</w:t>
            </w:r>
          </w:p>
        </w:tc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Notificación/cautela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ROJO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Canales 2022; vehículo sin confirmación actual RUNT.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ANÁLISIS COMO CONTRAPARTE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defensa alegará llenado contrario a instrucciones, pago o acuerdo, cobro de lo no debido, prescripción de cuotas, intereses futuros incorporados, mora no reproducible, ausencia de original/custodia, personería, pacto arbitral, notificación y cautela excesiva. Pedirá exhibir el compromiso de enero de 2024 y destacará que el capital facial quedó original mientras el interés se actualizó exactamente al corte.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También puede controvertir cualquier medida sobre el vehículo con la antigüedad del dato, la propiedad actual, gravámenes, afectaciones, identificación del automotor y proporcionalidad. Una declaración de 2022 no sustituye el certificado RUNT o de tránsito al día.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ANÁLISIS COMO JUEZ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Un juez puede reconocer fuerza facial al título, pero limitar o negar conceptos no claros, expresos y exigibles conforme a los artículos 422 y 430 del CGP. El artículo 622 del Código de Comercio admite llenar espacios solo con arreglo a instrucciones. La acción por la parte insoluta requiere conciliar saldo y explicar el instrumento complejo; los artículos 624 y 782 permiten reclamar la parte no pagada cuando quede demostrada.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futura formulación debe usar una sola cifra de capital certificada; incluir remuneratorios históricos solo con memoria que excluya interés futuro; conciliar mora histórica; y liquidar mora futura únicamente sobre capital desde el día siguiente a exigibilidad válida, a la tasa legalmente aplicable en cada periodo. Hasta cerrar esos puntos, no radicar.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CAUTELA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solicitud del codeudor declara un vehículo Nissan, placa FLJ238 y valor histórico $33.300.000. El número ‘1998’ aparece en el campo ‘Moneda’, no en ‘Modelo’, y no debe afirmarse como año/modelo sin RUNT. La certificación comercial histórica confirma uso de la placa, no titularidad. La cautelar queda condicionada a consulta/certificación actual de RUNT y autoridad de tránsito que confirme propietario e individualice el automotor.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deudora declaró vivienda propia y un valor aproximado, pero no aportó matrícula inmobiliaria ni prueba de titularidad; no sustenta embargo. Si RUNT no confirma el vehículo, debe retirarse la cautelar y cumplirse la ruta de envío que corresponda. No se pedirán bancos, inmuebles u otros vehículos indeterminados.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ANEXOS E ÍNDICE DE CIERRE</w:t>
      </w:r>
    </w:p>
    <w:tbl>
      <w:tblPr>
        <w:tblW w:w="85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600"/>
        <w:gridCol w:w="2800"/>
        <w:gridCol w:w="2600"/>
        <w:gridCol w:w="700"/>
        <w:gridCol w:w="1800"/>
      </w:tblGrid>
      <w:tr>
        <w:trPr>
          <w:tblHeader/>
        </w:trP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Documento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Archivo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Págs.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A1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Pagaré + instrucciones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PAGARÉ 1912000833.pdf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3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Disponible / original 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A2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Liquidación, solicitudes, CC y soportes históricos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CC 1033789770 PAGARE 1912000833.pdf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Disponible / depurar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A3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Extracto histórico al 6/7/2026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EXTRACTO 1033789770.PDF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3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Disponible / estructura PDF defectuosa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A4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CO/NA/CB + certificación y memoria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A5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Llenado, vencimiento y custodia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A6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Personería, contrato, consultas, notificación y RUNT/avalúo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[NOMBRES EXACTOS]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</w:tbl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CREARCOOP — control jurídico</dc:creator>
  <cp:lastModifiedBy>CREARCOOP — control jurídico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