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 w:val="1"/>
          <w:bCs w:val="1"/>
          <w:sz w:val="32"/>
          <w:szCs w:val="32"/>
        </w:rPr>
        <w:t xml:space="preserve">FORMATOS Y ORDEN DE SUBSANACIÓN — EXPEDIENTE 1912000833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Uso interno · completar con evidencia real · prohibido antedatar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ORDEN DE CIERRE</w:t>
      </w:r>
    </w:p>
    <w:tbl>
      <w:tblPr>
        <w:tblW w:w="865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650"/>
        <w:gridCol w:w="2300"/>
        <w:gridCol w:w="3300"/>
        <w:gridCol w:w="1500"/>
        <w:gridCol w:w="900"/>
      </w:tblGrid>
      <w:tr>
        <w:trPr>
          <w:tblHeader/>
        </w:trP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Orden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Soporte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Debe resolver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CO, NA y CB ambiguos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Naturaleza, aceptación, pagos, plazo, incumplimiento y título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Cartera/Jurídica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2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Certificación + cálculo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Capital, interés, mora, pagos y diferencias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Contabilidad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3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Vencimiento/prescripción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Plan 2025 versus facial 2026 y términos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4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Original/llenado/custodia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Campos, instrucciones, ubicación y no circulación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Custodia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5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Certificado CREARCOOP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Continuidad, representación y canales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Secretaría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6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Poder especial para ambos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Pagaré, obligación, apoderada y RNA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Representante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7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Contrato y desembolso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Reglas, control arbitral y entrega efectiva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Archivo/Jurídica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8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Consultas oficiales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Insolvencia, sucesión y procesos de ambos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9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Notificación actual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Domicilios y canales electrónicos probados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Cartera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10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RUNT/avalúo FLJ238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Propiedad, datos, gravámenes, valor y organismo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11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Último crédito/pago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Separar último crédito visible de último pago efectivo; actualizar saldo y límite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Contabilidad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PODER ESPECIAL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[REPRESENTANTE LEGAL VIGENTE, C.C. Y CALIDAD], en representación de CREARCOOP, confiere poder especial a [ABOGADA, C.C., T.P. Y CORREO RNA] para proceso ejecutivo contra ÁNGELA YISELA RESTREPO VARÓN, C.C. 1.033.789.770, y JOSÉ EFRAÍN HINCAPIÉ VILLA, C.C. 1.061.655.910, por el pagaré No. 1912000833 y obligación No. 10-1912000833, incluidas cautelas. Enumerar solo facultades autorizadas y conservar mensaje de datos/aceptación.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CERTIFICACIÓN CONTABLE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[NOMBRE/CALIDAD] certifica, con archivo reproducible adjunto, todos los movimientos de la obligación desde 20/9/2022 hasta [FECHA/HORA]. Debe distinguir RC, CB, NA, CM, CO y cualquier nota; no llamar pago a aplicación interna.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Explicar: capital $6.000.000 − $2.117.348; CO 1000142; NA 1000378; CB 100030121, 100002605 y 1200000010; base implícita de interés $3.251.653 frente al programa $3.600.588, créditos $2.399.491, saldo $852.162 y comparación diagnóstica $348.935; mora $1.346.743 − $21.824 = $1.324.919 versus $1.421.444 y diferencia $96.525. Obtener detalle diario para establecer, sin presumir, si esta última corresponde total o parcialmente a junio–6 de julio de 2026; incluir pagos posteriores, bases, tasas, días y aplicaciones.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COMPROMISO, VENCIMIENTO Y PRESCRIPCIÓN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Aportar CO 1000142, compromiso completo, comunicaciones, nuevo plan, incumplimiento y asientos. Determinar autoría, aceptación, alcance y oponibilidad frente a cada firmante; analizar la cláusula DÉCIMA, su calidad de signatarios solidarios en un mismo grado y los efectos interruptivos de los artículos 632 y 792 del Código de Comercio y 2540 del Código Civil.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análisis debe identificar primera mora, modificaciones y fecha material de llenado; explicar plan final 20/9/2025 frente a vencimiento facial 6/7/2026; y controlar prescripción por cuotas y acción cambiaria sin presumir ni negar automáticamente efectos entre los firmantes.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TRAZABILIDAD DE LLENADO Y CUSTODIA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 se reconstruye ahora, denominarla reconstrucción ex post. Identificar quién, cuándo, dónde y con qué fuente completó cada campo; original y transferencias de custodia; no circulación; hash; y disponibilidad de exhibición. Resolver capital original, interés actualizado, agencia vacía y dos reglas de vencimiento.</w:t>
      </w:r>
    </w:p>
    <w:tbl>
      <w:tblPr>
        <w:tblW w:w="88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150"/>
        <w:gridCol w:w="1400"/>
        <w:gridCol w:w="1750"/>
        <w:gridCol w:w="1400"/>
        <w:gridCol w:w="1400"/>
        <w:gridCol w:w="1700"/>
      </w:tblGrid>
      <w:tr>
        <w:trPr>
          <w:tblHeader/>
        </w:trP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Estado previo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Instrucción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Fuente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Dato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Persona/fecha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Agencia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Agencia solicitud/radicación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 llenado]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Otorgamiento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Ya decía 200922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Desembolso/obligación antigua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Liquidación 20/9/2022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20-09-22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Preexistente al nuevo escaneo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Adeudado según registros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[saldo al llenar]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$6.000.000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Interés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Adeudado según registros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[memoria]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$852.162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Tasa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Políticas CREARCOOP: tipo, periodicidad, liquidación, fija/variable, índice y margen; en defecto, máxima legal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[soporte]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39,29 %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Vencimiento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Inicio mora / día llenado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[evento]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6/7/2026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PERSONERÍA, CONTRATO Y DESEMBOLSO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Obtener certificado vigente CREARCOOP; poder para ambos; RNA; contrato, reglamento y anexos completos; control interno de pacto arbitral; y comprobante o certificación trazable de entrega efectiva de $5.478.000 netos.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DOMICILIO, NOTIFICACIÓN E INSOLVENCIA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Actualizar direcciones y verificar mediante fuente actual el municipio y departamento correctos, sin completar los formularios por inferencia. Usar email solo con evidencia actual y juramento del artículo 8 de la Ley 2213. Consultar en fuentes oficiales insolvencia, negociación de deudas, liquidación patrimonial, fallecimiento/sucesión y procesos paralelos de ambos el día de presentar.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RUNT Y CAUTELA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Obtener certificado actual de placa FLJ238: propietario con C.C. correcta 1.061.655.910, organismo, modelo/año, clase, línea, motor, chasis, VIN, gravámenes, limitaciones y estado. Obtener avalúo actual y ubicación lícita. Si José no es propietario o el bien no es individualizable, retirar la cautela. La declaración de vivienda de Ángela no autoriza embargo sin matrícula y titularidad.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ACTA DE LIBERACIÓN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revisora certificará que confrontó demanda, cautela y anexos; saldo del día; cero campos/alternativas/datos ajenos; título correcto; fuentes revalidadas; y estado APTO PARA REVISIÓN Y FIRMA HUMANA.</w:t>
      </w:r>
    </w:p>
    <w:tbl>
      <w:tblPr>
        <w:tblW w:w="89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0"/>
        <w:gridCol w:w="4600"/>
        <w:gridCol w:w="1000"/>
        <w:gridCol w:w="1600"/>
      </w:tblGrid>
      <w:tr>
        <w:trPr>
          <w:tblHeader/>
        </w:trP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Partes/personería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Identidad, calidades, certificado, poder para ambos, RNA y firma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Jurisdicción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Domicilio, contrato/anexos y ruta territorial definidos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Título/exigibilidad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Original, custodia, llenado, compromiso y vencimiento probados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Liquidación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Saldo actual y reproducible, sin rubros futuros/dobles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Prescripción/insolvencia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Términos y consultas oficiales de ambos cerrados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Cautela/higiene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RUNT, límite, anexos y cero campos o datos ajenos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</w:tbl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CREARCOOP — control jurídico</dc:creator>
  <cp:lastModifiedBy>CREARCOOP — control jurídico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