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b w:val="1"/>
          <w:bCs w:val="1"/>
          <w:sz w:val="32"/>
          <w:szCs w:val="32"/>
        </w:rPr>
        <w:t xml:space="preserve">INFORME INTEGRAL DE CONTROL — EXPEDIENTE 1912000835</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1F4E78"/>
          <w:b w:val="1"/>
          <w:bCs w:val="1"/>
        </w:rPr>
        <w:t xml:space="preserve">José Efraín Hincapié Villa y Ángela Yisela Restrepo Varón · versión 2 · 18 de julio de 2026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b w:val="1"/>
          <w:bCs w:val="1"/>
          <w:sz w:val="26"/>
          <w:szCs w:val="26"/>
        </w:rPr>
        <w:t xml:space="preserve">DECISIÓN: ROJO — NO APTO PARA FIRMA NI RADICACIÓN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Los Word quedan estructurados para precierre. No pueden presentarse hasta cerrar saldo, aceleración, llenado, custodia, personería, competencia, notificaciones, consultas y cautela. Ningún texto rojo puede sobrevivir a la versión judicial.</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 CONCLUSIÓN EJECUTIVA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pagaré No. 1912000835 identifica a JOSÉ EFRAÍN HINCAPIÉ VILLA, C.C. 1.061.655.910, como deudor, y a ÁNGELA YISELA RESTREPO VARÓN, C.C. 1.033.789.770, como codeudora. Ambos firmaron y estamparon huella en el pagaré y en la carta separada; el clausulado establece obligación solidaria e indivisible.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capital a corte solo concilia mecánicamente si el movimiento CO 1000434 produjo extinción: $10.000.000 menos $2.203.337 equivale a $7.796.663. El CO de 31 de marzo de 2024 aplica $640.479 a capital y $41.389 a mora bajo la descripción ‘GESTIÓN DE COBRO MARZO 2024’, no como recibo. El mismo consecutivo y descripción aparecen ese día, por monto distinto, en otra obligación auditada; ello es compatible con un asiento por lote, no prueba pago ni acuerdo. Sin el efecto del CO, el capital diagnóstico sería $8.437.142. Debe aportarse el documento fuente; ninguna de las dos cifras es todavía pretensión definitiva.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extracto informa interés $3.260.240 y mora $1.995.266, pero no permite reproducirlos. El interés programado total es $8.302.208 y los créditos del extracto suman $3.560.791; la resta sería $4.741.417, esto es $1.481.177 más que lo informado. Aun limitando el interés programado hasta 21 de junio de 2026, la diferencia diagnóstica es $1.420.007. En mora, $1.861.547 de cargos menos $59.490 de créditos da $1.802.057, no $1.995.266: faltan $193.209 en el detalle.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plan pactó 48 cuotas y termina el 21 de septiembre de 2026; el vencimiento facial 6 de julio de 2026 anticipa 77 días el horizonte ordinario y deja tres cuotas naturales, con capital programado $1.082.718 e interés futuro $61.170. Para cobrar todo antes del vencimiento ordinario deben probarse incumplimiento y aceleración; además, debe definirse cuál regla de vencimiento gobierna y resolverse la contradicción entre la instrucción incorporada —inicio de mora— y la carta separada —día de llenado—. El corte del extracto no prueba esos eventos.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Las mismas dos personas aparecen también en la obligación 1912000833, con roles invertidos. Cada expediente debe conservar saldo, pagos, acuerdos y anexos separados; antes de decidir demandas independientes o acumulación, debe descartarse un acuerdo global, aplicaciones cruzadas, duplicidad de rubros y riesgo de decisiones incompatibles.</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2. SELECCIÓN Y ANÁLISIS FORENSE DEL TÍTULO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Título seleccionado: PAGARÉ 1912000835.pdf, cuatro páginas, SHA-256 2892c8efb882aa96d57d8a55844cf2c8538e724649b11ea9db8244c7c12d758a. Archivo descartado como título: 1912000835.pdf, SHA-256 53c40220cbef610a638e1a24d47d8f7976da437542dc7be3a8e77baf8d30a60d. Se conserva el segundo únicamente para trazabilidad.</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actual fue procesado por iLovePDF el 16 de julio de 2026 y combina página 1 A4 con páginas 2 a 4 carta. Sustituyó solo la página 1 por una nueva digitalización diligenciada; las páginas 2, 3 y 4 son idénticas byte por byte a las anteriores. En la página 1 previa ya constaban 21-09-22 y 1912000835; estaban en blanco agencia, capital, interés, tasa, vencimiento, nombres y cédulas, y no figuraba ‘48 cuotas mensuales’. Ello es compatible con llenado posterior autorizado, pero no prueba fecha, persona, fuente ni identidad del original.</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actual inserta capital $10.000.000, interés $3.260.240, tasa 39,29 %, 48 cuotas y vencimiento 6-07-26. Que el capital permanezca en el monto inicial mientras el interés coincide exactamente con el saldo del extracto es compatible con un llenado híbrido. La agencia sigue vacía. Debe exhibirse original y reconstruirse campo por campo.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3. DATO–SOPORTE</w:t>
      </w:r>
    </w:p>
    <w:tbl>
      <w:tblPr>
        <w:tblW w:w="88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00"/>
        <w:gridCol w:w="3200"/>
        <w:gridCol w:w="2600"/>
        <w:gridCol w:w="1500"/>
      </w:tblGrid>
      <w:tr>
        <w:trPr>
          <w:tblHeader/>
        </w:trPr>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Elemento</w:t>
            </w:r>
          </w:p>
        </w:tc>
        <w:tc>
          <w:tcPr>
            <w:tcW w:w="32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Dato</w:t>
            </w:r>
          </w:p>
        </w:tc>
        <w:tc>
          <w:tcPr>
            <w:tcW w:w="26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Fuente</w:t>
            </w:r>
          </w:p>
        </w:tc>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Estado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Deudor</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José Efraín Hincapié Villa — C.C. 1.061.655.910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pp. 1–3; liquidación; CC p. 5</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Codeudora</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Ángela Yisela Restrepo Varón — C.C. 1.033.789.770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pp. 1–3; CC p. 11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Título/obligación</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Pagaré 1912000835 / obligación 10-1912000835</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y extracto</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Solicitud/aprobación/desembolso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14/9/2022 · 19/9/2022 · 21/9/2022</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Evidenciado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Solicitud vs. aprobación</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$25.000.000/36 meses vs. $10.000.000/48 meses</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Solicitudes pp. 3 y 9; liquidación</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Cambio documentado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Neto registrado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$9.076.000; deducciones $924.000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Entrega autónoma pendiente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Plan</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48 × $381.296; 21/10/2022–21/9/2026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pp. 1–2</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Última futura al corte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Tasa</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33,60 % N.A.M.V. / 39,29 % E.A., fija</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Pagaré solo dice 39,29 %</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Vencimiento facial</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6 de julio de 2026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77 días antes del plan</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Capital facial</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$10.000.000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Contradice saldo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Capital extracto</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$7.796.663 al 6/7/2026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 pendiente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Interés</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$3.260.240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Pagaré y extracto</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Coincide; no reproduce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Mora</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$1.995.266</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Extracto p. 3</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No reproduce</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Último RC</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18/10/2023 por $887.000</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Extracto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No confundir con CO</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Dirección José</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Cr. 2 No. 3-45 casa 14, Cota, Cundinamarca</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Liquidación p. 1</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Histórica 2022</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Direcciones Ángela</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Lote 15, manzana 24; inmueble declarado manzana 29</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Solicitud p. 9</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Contradictorias/históricas</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Solicitudes</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Encabezados José/Ángela cruzados respecto del resto del formulario</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CC pp. 3 y 9</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Anomalía inventariada</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Vehículo José</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FLJ238, Nissan T5U41, modelo 1998, camión estacas</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Licencia p. 6</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Titularidad 2021; actualizar</w:t>
            </w:r>
          </w:p>
        </w:tc>
      </w:tr>
      <w:tr>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Terceros</w:t>
            </w:r>
          </w:p>
        </w:tc>
        <w:tc>
          <w:tcPr>
            <w:tcW w:w="3200" w:type="dxa"/>
            <w:tcMar>
              <w:top w:w="70" w:type="dxa"/>
              <w:left w:w="70" w:type="dxa"/>
              <w:bottom w:w="70" w:type="dxa"/>
              <w:right w:w="70" w:type="dxa"/>
            </w:tcMar>
          </w:tcPr>
          <w:p>
            <w:pPr>
              <w:spacing w:after="40" w:line="220" w:lineRule="auto"/>
            </w:pPr>
            <w:r>
              <w:rPr>
                <w:rFonts w:ascii="Arial" w:hAnsi="Arial" w:cs="Arial"/>
                <w:sz w:val="16"/>
                <w:szCs w:val="16"/>
              </w:rPr>
              <w:t xml:space="preserve">Víctor Muñoz, Alejandro Cogua/Reciclajes y Ángela como certificadora</w:t>
            </w:r>
          </w:p>
        </w:tc>
        <w:tc>
          <w:tcPr>
            <w:tcW w:w="2600" w:type="dxa"/>
            <w:tcMar>
              <w:top w:w="70" w:type="dxa"/>
              <w:left w:w="70" w:type="dxa"/>
              <w:bottom w:w="70" w:type="dxa"/>
              <w:right w:w="70" w:type="dxa"/>
            </w:tcMar>
          </w:tcPr>
          <w:p>
            <w:pPr>
              <w:spacing w:after="40" w:line="220" w:lineRule="auto"/>
            </w:pPr>
            <w:r>
              <w:rPr>
                <w:rFonts w:ascii="Arial" w:hAnsi="Arial" w:cs="Arial"/>
                <w:sz w:val="16"/>
                <w:szCs w:val="16"/>
              </w:rPr>
              <w:t xml:space="preserve">CC pp. 7–10</w:t>
            </w:r>
          </w:p>
        </w:tc>
        <w:tc>
          <w:tcPr>
            <w:tcW w:w="1500" w:type="dxa"/>
            <w:tcMar>
              <w:top w:w="70" w:type="dxa"/>
              <w:left w:w="70" w:type="dxa"/>
              <w:bottom w:w="70" w:type="dxa"/>
              <w:right w:w="70" w:type="dxa"/>
            </w:tcMar>
          </w:tcPr>
          <w:p>
            <w:pPr>
              <w:spacing w:after="40" w:line="220" w:lineRule="auto"/>
            </w:pPr>
            <w:r>
              <w:rPr>
                <w:rFonts w:ascii="Arial" w:hAnsi="Arial" w:cs="Arial"/>
                <w:sz w:val="16"/>
                <w:szCs w:val="16"/>
              </w:rPr>
              <w:t xml:space="preserve">No obligados/pagadores actuales</w:t>
            </w:r>
          </w:p>
        </w:tc>
      </w:tr>
    </w:tbl>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4. RECONCILIACIÓN CONTABLE</w:t>
      </w:r>
    </w:p>
    <w:tbl>
      <w:tblPr>
        <w:tblW w:w="91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00"/>
        <w:gridCol w:w="1800"/>
        <w:gridCol w:w="1700"/>
        <w:gridCol w:w="1500"/>
        <w:gridCol w:w="1500"/>
        <w:gridCol w:w="1400"/>
      </w:tblGrid>
      <w:tr>
        <w:trPr>
          <w:tblHeader/>
        </w:trPr>
        <w:tc>
          <w:tcPr>
            <w:tcW w:w="12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Rubro</w:t>
            </w:r>
          </w:p>
        </w:tc>
        <w:tc>
          <w:tcPr>
            <w:tcW w:w="18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Cargos/base</w:t>
            </w:r>
          </w:p>
        </w:tc>
        <w:tc>
          <w:tcPr>
            <w:tcW w:w="17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Créditos</w:t>
            </w:r>
          </w:p>
        </w:tc>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Resta</w:t>
            </w:r>
          </w:p>
        </w:tc>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Saldo</w:t>
            </w:r>
          </w:p>
        </w:tc>
        <w:tc>
          <w:tcPr>
            <w:tcW w:w="14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Concilia</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Capital</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$10.000.000</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$2.203.337</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$7.796.663</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$7.796.663</w:t>
            </w:r>
          </w:p>
        </w:tc>
        <w:tc>
          <w:tcPr>
            <w:tcW w:w="1400" w:type="dxa"/>
            <w:tcMar>
              <w:top w:w="70" w:type="dxa"/>
              <w:left w:w="70" w:type="dxa"/>
              <w:bottom w:w="70" w:type="dxa"/>
              <w:right w:w="70" w:type="dxa"/>
            </w:tcMar>
          </w:tcPr>
          <w:p>
            <w:pPr>
              <w:spacing w:after="40" w:line="220" w:lineRule="auto"/>
            </w:pPr>
            <w:r>
              <w:rPr>
                <w:rFonts w:ascii="Arial" w:hAnsi="Arial" w:cs="Arial"/>
                <w:sz w:val="15"/>
                <w:szCs w:val="15"/>
              </w:rPr>
              <w:t xml:space="preserve">Solo si CO extingue</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Interés</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$8.302.208 programado</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$3.560.791</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$4.741.417</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$3.260.240</w:t>
            </w:r>
          </w:p>
        </w:tc>
        <w:tc>
          <w:tcPr>
            <w:tcW w:w="1400" w:type="dxa"/>
            <w:tcMar>
              <w:top w:w="70" w:type="dxa"/>
              <w:left w:w="70" w:type="dxa"/>
              <w:bottom w:w="70" w:type="dxa"/>
              <w:right w:w="70" w:type="dxa"/>
            </w:tcMar>
          </w:tcPr>
          <w:p>
            <w:pPr>
              <w:spacing w:after="40" w:line="220" w:lineRule="auto"/>
            </w:pPr>
            <w:r>
              <w:rPr>
                <w:rFonts w:ascii="Arial" w:hAnsi="Arial" w:cs="Arial"/>
                <w:sz w:val="15"/>
                <w:szCs w:val="15"/>
              </w:rPr>
              <w:t xml:space="preserve">No: −$1.481.177</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Mora</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$1.861.547</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$59.490</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$1.802.057</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$1.995.266</w:t>
            </w:r>
          </w:p>
        </w:tc>
        <w:tc>
          <w:tcPr>
            <w:tcW w:w="1400" w:type="dxa"/>
            <w:tcMar>
              <w:top w:w="70" w:type="dxa"/>
              <w:left w:w="70" w:type="dxa"/>
              <w:bottom w:w="70" w:type="dxa"/>
              <w:right w:w="70" w:type="dxa"/>
            </w:tcMar>
          </w:tcPr>
          <w:p>
            <w:pPr>
              <w:spacing w:after="40" w:line="220" w:lineRule="auto"/>
            </w:pPr>
            <w:r>
              <w:rPr>
                <w:rFonts w:ascii="Arial" w:hAnsi="Arial" w:cs="Arial"/>
                <w:sz w:val="15"/>
                <w:szCs w:val="15"/>
              </w:rPr>
              <w:t xml:space="preserve">No: +$193.209</w:t>
            </w:r>
          </w:p>
        </w:tc>
      </w:tr>
      <w:tr>
        <w:tc>
          <w:tcPr>
            <w:tcW w:w="1200" w:type="dxa"/>
            <w:tcMar>
              <w:top w:w="70" w:type="dxa"/>
              <w:left w:w="70" w:type="dxa"/>
              <w:bottom w:w="70" w:type="dxa"/>
              <w:right w:w="70" w:type="dxa"/>
            </w:tcMar>
          </w:tcPr>
          <w:p>
            <w:pPr>
              <w:spacing w:after="40" w:line="220" w:lineRule="auto"/>
            </w:pPr>
            <w:r>
              <w:rPr>
                <w:rFonts w:ascii="Arial" w:hAnsi="Arial" w:cs="Arial"/>
                <w:sz w:val="15"/>
                <w:szCs w:val="15"/>
              </w:rPr>
              <w:t xml:space="preserve">Total</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$13.052.169</w:t>
            </w:r>
          </w:p>
        </w:tc>
        <w:tc>
          <w:tcPr>
            <w:tcW w:w="1400" w:type="dxa"/>
            <w:tcMar>
              <w:top w:w="70" w:type="dxa"/>
              <w:left w:w="70" w:type="dxa"/>
              <w:bottom w:w="70" w:type="dxa"/>
              <w:right w:w="70" w:type="dxa"/>
            </w:tcMar>
          </w:tcPr>
          <w:p>
            <w:pPr>
              <w:spacing w:after="40" w:line="220" w:lineRule="auto"/>
            </w:pPr>
            <w:r>
              <w:rPr>
                <w:rFonts w:ascii="Arial" w:hAnsi="Arial" w:cs="Arial"/>
                <w:sz w:val="15"/>
                <w:szCs w:val="15"/>
              </w:rPr>
              <w:t xml:space="preserve">Suma rubros</w:t>
            </w:r>
          </w:p>
        </w:tc>
      </w:tr>
    </w:tbl>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total informado, $13.052.169, sí suma los tres rubros. Los RC y CB aparentan recaudos por $5.091.350, con $1.562.858 aplicado a capital; la NA 1017844 aplica $45.946 a interés y $4.454 a mora, y el CO 1000434 aplica $681.868. El último RC visible es de 18 de octubre de 2023 por $887.000; no hay créditos después del CO. Debe distinguirse último crédito contable de último pago efectivo probado.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5. EXIGIBILIDAD, LLENADO Y PRESCRIPCIÓN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plan prevé la cuota 48 para el 21 de septiembre de 2026. Al corte facial faltaban las cuotas 46, 47 y 48. La cláusula aceleratoria puede hacer exigible anticipadamente el saldo, pero se requiere identificar primera cuota impagada, evento concreto, declaración de aceleración y efectos de cualquier prórroga, reestructuración o acuerdo.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extracto registra mora desde el 30 de noviembre de 2022 y, después del último RC de 18 de octubre de 2023, causaciones mensuales continuas, incluso posteriores al CO. Por ello, el 6 de julio de 2026 no aparece como inicio de mora con la evidencia disponible. Solo una cura, prórroga o reestructuración probada, junto con la distinción entre mora de cuotas y mora del saldo acelerado, podría explicar esa fecha.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Debe aplicarse el artículo 69 de la Ley 45 de 1990: si CREARCOOP exigió anticipadamente el total, no puede darse por restituido el plazo sin verificar la excepción legal relativa a cobrar mora únicamente sobre cuotas vencidas. La base histórica de mora y cualquier acuerdo deben mostrar si hubo aceleración, posterior restitución y tratamiento de cada cuota.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fecha facial llevaría en principio la acción cambiaria directa al 6 de julio de 2029. Si gobernara el cronograma individual, al corte las nueve cuotas de octubre de 2022 a junio de 2023 ya superaban tres años; al 21 de septiembre de 2026 serían doce. Es un riesgo alternativo, no una conclusión: pagos, aceleración y acuerdos deben analizarse por cuota y firmante. Un asiento interno no prueba reconocimiento interruptivo. Debe determinarse primero si los obligados son signatarios en el mismo grado y luego armonizar los artículos 632 y 792 del Código de Comercio con el 2540 del Código Civil.</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6. SEMÁFORO DE GATES</w:t>
      </w:r>
    </w:p>
    <w:tbl>
      <w:tblPr>
        <w:tblW w:w="88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00"/>
        <w:gridCol w:w="2000"/>
        <w:gridCol w:w="1100"/>
        <w:gridCol w:w="5000"/>
      </w:tblGrid>
      <w:tr>
        <w:trPr>
          <w:tblHeader/>
        </w:trPr>
        <w:tc>
          <w:tcPr>
            <w:tcW w:w="7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Gate</w:t>
            </w:r>
          </w:p>
        </w:tc>
        <w:tc>
          <w:tcPr>
            <w:tcW w:w="20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Control</w:t>
            </w:r>
          </w:p>
        </w:tc>
        <w:tc>
          <w:tcPr>
            <w:tcW w:w="11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Estado</w:t>
            </w:r>
          </w:p>
        </w:tc>
        <w:tc>
          <w:tcPr>
            <w:tcW w:w="50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Razón</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G0</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Norma vigente</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Revalidar fuentes oficiales, tasa, competencia y cuantía al presentar.</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Identidad/legitimación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Partes coinciden; falta certificado vigente y continuidad de acreedora.</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G2</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Personería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Poder para ambos, representante, apoderada/RNA y firma pendientes.</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G3</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Jurisdicción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Contrato y anexos incompletos; control arbitral pendiente.</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G4</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Competencia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Domicilios de 2022 y formularios territorialmente inconsistentes.</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G5</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Título/original</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Original, custodia, no circulación y trazabilidad de llenado pendientes.</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G6</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Llenado</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Capital original, interés al corte, agencia vacía y dos reglas de vencimiento.</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G7</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Exigibilidad</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Antes de 21/9/2026: aceleración válida; después: vencimiento ordinario y defensa de llenado.</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G8</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Prescripción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Facial 6/7/2029; controlar cuotas, acuerdos y actos por firmante.</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G9</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Saldo/intereses</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Capital depende del CO; interés y mora no concilian.</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G10</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Movimientos/acuerdos</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CO/NA, último pago efectivo y posibles acuerdos sin soporte.</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G11</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Procesos/estrategia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Consultas actuales y decisión 0833/0835 separadas o acumuladas.</w:t>
            </w:r>
          </w:p>
        </w:tc>
      </w:tr>
      <w:tr>
        <w:tc>
          <w:tcPr>
            <w:tcW w:w="700" w:type="dxa"/>
            <w:tcMar>
              <w:top w:w="70" w:type="dxa"/>
              <w:left w:w="70" w:type="dxa"/>
              <w:bottom w:w="70" w:type="dxa"/>
              <w:right w:w="70" w:type="dxa"/>
            </w:tcMar>
          </w:tcPr>
          <w:p>
            <w:pPr>
              <w:spacing w:after="40" w:line="220" w:lineRule="auto"/>
            </w:pPr>
            <w:r>
              <w:rPr>
                <w:rFonts w:ascii="Arial" w:hAnsi="Arial" w:cs="Arial"/>
                <w:sz w:val="16"/>
                <w:szCs w:val="16"/>
              </w:rPr>
              <w:t xml:space="preserve">G12</w:t>
            </w:r>
          </w:p>
        </w:tc>
        <w:tc>
          <w:tcPr>
            <w:tcW w:w="2000" w:type="dxa"/>
            <w:tcMar>
              <w:top w:w="70" w:type="dxa"/>
              <w:left w:w="70" w:type="dxa"/>
              <w:bottom w:w="70" w:type="dxa"/>
              <w:right w:w="70" w:type="dxa"/>
            </w:tcMar>
          </w:tcPr>
          <w:p>
            <w:pPr>
              <w:spacing w:after="40" w:line="220" w:lineRule="auto"/>
            </w:pPr>
            <w:r>
              <w:rPr>
                <w:rFonts w:ascii="Arial" w:hAnsi="Arial" w:cs="Arial"/>
                <w:sz w:val="16"/>
                <w:szCs w:val="16"/>
              </w:rPr>
              <w:t xml:space="preserve">Notificación/cautela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5000" w:type="dxa"/>
            <w:tcMar>
              <w:top w:w="70" w:type="dxa"/>
              <w:left w:w="70" w:type="dxa"/>
              <w:bottom w:w="70" w:type="dxa"/>
              <w:right w:w="70" w:type="dxa"/>
            </w:tcMar>
          </w:tcPr>
          <w:p>
            <w:pPr>
              <w:spacing w:after="40" w:line="220" w:lineRule="auto"/>
            </w:pPr>
            <w:r>
              <w:rPr>
                <w:rFonts w:ascii="Arial" w:hAnsi="Arial" w:cs="Arial"/>
                <w:sz w:val="16"/>
                <w:szCs w:val="16"/>
              </w:rPr>
              <w:t xml:space="preserve">Canales 2022; FLJ238 sin RUNT ni avalúo actuales.</w:t>
            </w:r>
          </w:p>
        </w:tc>
      </w:tr>
    </w:tbl>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7. ANÁLISIS COMO CONTRAPARTE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defensa alegará llenado contrario a instrucciones, vencimiento anticipado sin aceleración probada, pago parcial, cobro de interés futuro, mora no reproducible, CO no consentido, prescripción de cuotas, falta de entrega neta, ausencia de original, personería, pacto arbitral, notificación defectuosa y cautela excesiva. Destacará que el capital facial quedó original mientras el interés se actualizó al extracto.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También explotará la anomalía de las solicitudes: la marcada como solicitante de José contiene el nombre de Ángela en el encabezado, y la marcada como codeudora contiene el nombre de Efraín, aunque el resto de datos, firmas, cédulas y liquidación permiten distinguirlos. Debe inventariarse sin convertir formularios históricos en prueba actual de domicilio o activos.</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8. ANÁLISIS COMO JUEZ</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juez puede reconocer fuerza facial al pagaré, pero limitar o negar conceptos cuya claridad y exigibilidad no estén demostradas, conforme a los artículos 422 y 430 del CGP. El artículo 622 del Código de Comercio permite llenar espacios únicamente según instrucciones. El artículo 624 regula exhibición y pago parcial; la acción por la parte no pagada se sustenta en el artículo 782 y exige demostrarla, no escoger un saldo incierto. También debe explicarse la ausencia de anotaciones físicas de abonos.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demanda definitiva necesita una sola cifra certificada; memoria de remuneratorios que excluya futuro; mora histórica conciliada; y mora futura solo sobre capital desde el día siguiente a exigibilidad válida, a la tasa legal de cada periodo. Debe decidirse de forma expresa si se acumulan o separan las obligaciones 1912000833 y 1912000835, sin mezclar pruebas ni movimientos.</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9. CAUTELA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licencia histórica individualiza el vehículo FLJ238: Nissan, línea T5U41, modelo 1998, camión de estacas, servicio público, blanco, diésel, 4.200 cc, registrado en Floridablanca y expedido el 27 de abril de 2021 a nombre de José. Es la única cautela con soporte individual. Debe obtenerse certificado RUNT/tránsito actual, gravámenes, estado, identificación técnica y avalúo.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declaración de inmueble de Ángela no tiene matrícula y contradice manzana 24/manzana 29. Tampoco hay prueba actual de cuentas, empleador o créditos frente a terceros. Si RUNT no confirma titularidad o el camión resulta desproporcionado, debe retirarse o reformularse la cautela.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FLJ238 también es el bien propuesto en el expediente 1912000833. Antes de presentar medidas separadas debe verificarse si existe solicitud, inscripción o proceso previo y escoger una coordinación procesal lícita —acumulación, concurrencia o remanentes según el estado real— que evite duplicidad, límites incompatibles o doble valoración del mismo activo.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10. ANEXOS E ÍNDICE DE CIERRE</w:t>
      </w:r>
    </w:p>
    <w:tbl>
      <w:tblPr>
        <w:tblW w:w="85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600"/>
        <w:gridCol w:w="2800"/>
        <w:gridCol w:w="2600"/>
        <w:gridCol w:w="700"/>
        <w:gridCol w:w="1800"/>
      </w:tblGrid>
      <w:tr>
        <w:trPr>
          <w:tblHeader/>
        </w:trPr>
        <w:tc>
          <w:tcPr>
            <w:tcW w:w="6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No.</w:t>
            </w:r>
          </w:p>
        </w:tc>
        <w:tc>
          <w:tcPr>
            <w:tcW w:w="28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Documento</w:t>
            </w:r>
          </w:p>
        </w:tc>
        <w:tc>
          <w:tcPr>
            <w:tcW w:w="26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Archivo</w:t>
            </w:r>
          </w:p>
        </w:tc>
        <w:tc>
          <w:tcPr>
            <w:tcW w:w="7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Págs.</w:t>
            </w:r>
          </w:p>
        </w:tc>
        <w:tc>
          <w:tcPr>
            <w:tcW w:w="18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Estado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A1</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Pagaré + instrucciones</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PAGARÉ 1912000835.pdf</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4</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Disponible / original 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A2</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Liquidación, solicitudes, CC y soportes</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CC 1061655910 PAGARE 1912000835.pdf</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11</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Disponible / depurar</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A3</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Extracto al 6/7/2026</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EXTRACTO 1061655910.PDF</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3</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Disponible / certificar</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A4</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CO/NA + memoria y soportes fuente</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A5</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Aceleración, llenado y custodia</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 EXACTO]</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A6</w:t>
            </w:r>
          </w:p>
        </w:tc>
        <w:tc>
          <w:tcPr>
            <w:tcW w:w="2800" w:type="dxa"/>
            <w:tcMar>
              <w:top w:w="70" w:type="dxa"/>
              <w:left w:w="70" w:type="dxa"/>
              <w:bottom w:w="70" w:type="dxa"/>
              <w:right w:w="70" w:type="dxa"/>
            </w:tcMar>
          </w:tcPr>
          <w:p>
            <w:pPr>
              <w:spacing w:after="40" w:line="220" w:lineRule="auto"/>
            </w:pPr>
            <w:r>
              <w:rPr>
                <w:rFonts w:ascii="Arial" w:hAnsi="Arial" w:cs="Arial"/>
                <w:sz w:val="15"/>
                <w:szCs w:val="15"/>
              </w:rPr>
              <w:t xml:space="preserve">Personería, contrato, consultas, notificación y RUNT</w:t>
            </w:r>
          </w:p>
        </w:tc>
        <w:tc>
          <w:tcPr>
            <w:tcW w:w="2600" w:type="dxa"/>
            <w:tcMar>
              <w:top w:w="70" w:type="dxa"/>
              <w:left w:w="70" w:type="dxa"/>
              <w:bottom w:w="70" w:type="dxa"/>
              <w:right w:w="70" w:type="dxa"/>
            </w:tcMar>
          </w:tcPr>
          <w:p>
            <w:pPr>
              <w:spacing w:after="40" w:line="220" w:lineRule="auto"/>
            </w:pPr>
            <w:r>
              <w:rPr>
                <w:rFonts w:ascii="Arial" w:hAnsi="Arial" w:cs="Arial"/>
                <w:sz w:val="15"/>
                <w:szCs w:val="15"/>
              </w:rPr>
              <w:t xml:space="preserve">[NOMBRES EXACTOS]</w:t>
            </w:r>
          </w:p>
        </w:tc>
        <w:tc>
          <w:tcPr>
            <w:tcW w:w="700" w:type="dxa"/>
            <w:tcMar>
              <w:top w:w="70" w:type="dxa"/>
              <w:left w:w="70" w:type="dxa"/>
              <w:bottom w:w="70" w:type="dxa"/>
              <w:right w:w="70" w:type="dxa"/>
            </w:tcMar>
          </w:tcPr>
          <w:p>
            <w:pPr>
              <w:spacing w:after="40" w:line="220" w:lineRule="auto"/>
            </w:pPr>
            <w:r>
              <w:rPr>
                <w:rFonts w:ascii="Arial" w:hAnsi="Arial" w:cs="Arial"/>
                <w:sz w:val="15"/>
                <w:szCs w:val="15"/>
              </w:rPr>
              <w:t xml:space="preserve">[●]</w:t>
            </w:r>
          </w:p>
        </w:tc>
        <w:tc>
          <w:tcPr>
            <w:tcW w:w="1800" w:type="dxa"/>
            <w:tcMar>
              <w:top w:w="70" w:type="dxa"/>
              <w:left w:w="70" w:type="dxa"/>
              <w:bottom w:w="70" w:type="dxa"/>
              <w:right w:w="70" w:type="dxa"/>
            </w:tcMar>
          </w:tcPr>
          <w:p>
            <w:pPr>
              <w:spacing w:after="40" w:line="220" w:lineRule="auto"/>
            </w:pPr>
            <w:r>
              <w:rPr>
                <w:rFonts w:ascii="Arial" w:hAnsi="Arial" w:cs="Arial"/>
                <w:sz w:val="15"/>
                <w:szCs w:val="15"/>
              </w:rPr>
              <w:t xml:space="preserve">Pendiente</w:t>
            </w:r>
          </w:p>
        </w:tc>
      </w:tr>
    </w:tbl>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CREARCOOP — control jurídico</dc:creator>
  <cp:lastModifiedBy>CREARCOOP — control jurídico</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