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1F4E78"/>
          <w:b w:val="1"/>
          <w:bCs w:val="1"/>
          <w:sz w:val="32"/>
          <w:szCs w:val="32"/>
        </w:rPr>
        <w:t xml:space="preserve">GUÍA — 26 FICHAS DE CIERRE JURÍDICO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CIRCULACIÓN RESTRINGIDA — CONTIENE DATOS PERSONALES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6"/>
          <w:szCs w:val="26"/>
        </w:rPr>
        <w:t xml:space="preserve">ESTADO DEL PAQUETE: CONTROL INTERNO — NO RADICAR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Este paquete complementa las 26 demandas y 26 cautelares. Cada ficha concentra las salidas 1–4 y 7–10 del protocolo: viabilidad, dato–soporte, faltantes, alertas, índice, memoria, acta y agenda.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REGLA DE USO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Asignar una ficha y su pareja demanda/cautelar a un abogado. Completar únicamente con prueba legible y actual. Todo corchete es un bloqueo; una marca verde solo puede emitirla y firmarla la abogada responsable después de revisar el expediente completo.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FUENTES CONGELADAS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 seleccionó exclusivamente el PDF cuyo nombre inicia «PAGARÉ ». Cada ficha registra páginas y huella abreviada de ese título, del extracto y del soporte. La matriz de semáforo conserva las huellas completas de fuentes y productos; el manifiesto separado congela los 78 PDF fuente con nombre, ruta, tamaño, páginas y SHA-256.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ORDEN DE CIERRE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1. Personería y certificado. 2. Original, llenado y custodia. 3. Contrato y arbitraje. 4. Exigibilidad y prescripción. 5. Pagos y memoria. 6. Insolvencia/procesos. 7. Competencia/canales. 8. Activo y cautela. 9. Anexos. 10. Triple revisión, firma y radicación.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PROHIBICIONES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 trasladar alertas internas a la copia para firma; no borrar marcadores sin soporte; no convertir pistas patrimoniales históricas en hechos actuales; no pedir búsquedas generales; no radicar con saldo del 6 de julio de 2026 sin actualización.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AUDITORÍAS INDIVIDUALES PREEXISTENTES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Los pagarés 1911000986, 1912000810, 1912000833 y 1912000835 cuentan con auditorías individuales en las carpetas ENTREGABLES correspondientes. Solo 1911000986 tiene una memoria de liquidación autónoma. Los otros 22 casos requieren cierre individual completo con esta ficha.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ESTADO MÁXIMO Y RESPONSABILIDAD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El único estado verde admisible es «APTO PARA REVISIÓN Y FIRMA HUMANA». AUTORIZACIÓN AUTOMÁTICA DE RADICACIÓN: NO. La firma profesional y los controles finales inmediatamente previos a la presentación siguen siendo obligatorios.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fichas de cierre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