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8"/>
          <w:szCs w:val="28"/>
        </w:rPr>
        <w:t xml:space="preserve">FICHA DE CIERRE JURÍDICO — PARA COMPLETAR Y REVISAR — NO RADICAR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CIRCULACIÓN RESTRINGIDA — CONTIENE DATOS PERSONALES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Documento interno complementario. No sustituye la demanda, la cautelar, la liquidación firmada ni la revisión de la abogada. Todo texto entre corchetes bloquea el cierre.</w:t>
      </w:r>
    </w:p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1F4E78"/>
          <w:b w:val="1"/>
          <w:bCs w:val="1"/>
        </w:rPr>
        <w:t xml:space="preserve">CASO 01/26 — PAGARÉ No. 1911000986 — OBLIGACIÓN No. 10-1911000986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6"/>
          <w:szCs w:val="26"/>
        </w:rPr>
        <w:t xml:space="preserve">SEMÁFORO GENERAL: ROJO — NO APTO PARA FIRMA NI RADICACIÓN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0. CONTROL DE VERSIÓN Y TRAZABILIDAD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Expediente interno: [COMPLETAR]. Versión de ficha: 1.0. Fecha de generación: 21 de julio de 2026. Corte documental y contable histórico: 6 de julio de 2026. Corte normativo y de consultas para presentar: [COMPLETAR — FECHA Y HORA].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Custodio y ubicación del original: [COMPLETAR]. Elaboró: [COMPLETAR]. Control contable: [COMPLETAR]. Revisión jurídica: [COMPLETAR]. Abogada firmante: [COMPLETAR].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Demanda vinculada: 01_DEMANDA_1911000986_PARA_COMPLETAR_NO_RADICAR.docx — SHA-256 e2ab626a024e8e9d…. Cautelar vinculada: 02_CAUTELAR_1911000986_PARA_COMPLETAR_NO_RADICAR.docx — SHA-256 4a9dde90607e0635….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Homologación: [COMPLETAR — identificar versión aprobada de demanda y cautelar y documentar cualquier modificación al texto fijo]. No se acreditó una versión canónica liberada para firma.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Auditoría exhaustiva disponible en ENTREGABLES_1911000986_V2; incluye informe, matriz dato–soporte, faltantes, alertas y memoria de liquidación autónoma.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1. IDENTIFICACIÓN Y RESUMEN EJECUTIVO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Acreedora documental: COOPERATIVA DE AHORRO Y CRÉDITO CREAR LTDA. — CREARCOOP, NIT 890.981.459-4. [CONFRONTAR CON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Firmantes: MARÍA AMELIA CABIEDES PLATA — C.C. 41.526.686 — primer firmante de control; calidad individual pendiente de cierre.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Producto literal del extracto: «MICROCRÉDITO EMPRESARIAL». Primer cargo/apertura registrado: 7 de octubre de 2022 por DOCE MILLONES DE PESOS M/CTE ($12.000.000). [NO CONFUNDIR CON DESEMBOLSO NETO SIN COMPROBANTE].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Lectura facial de control: Otorgamiento: 7 de octubre de 2022; 48 cuotas mensuales; capital facial: $12.000.000; interés facial: $1.670.935; tasa facial 26,82 % [COMPLETAR — MODALIDAD FACIAL; NO PRESUMIR E.A. O N.A.M.V.]; vencimiento facial: 6 de julio de 2026. [CONFRONTAR ORIGINAL FÍSICO Y NO INFERIR MODALIDAD DE TASA].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CRÍTICA DE LLENADO: el interés facial ($1.670.935) coincide exactamente con el saldo histórico de interés del extracto ($1.670.935). La coincidencia ocurre en los 26 expedientes y no prueba por sí sola el valor originalmente pactado; exige trazabilidad documental de cuándo, por quién y con qué fuente se diligenció el pagaré.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Saldo histórico al 6 de julio de 2026: capital TRES MILLONES SETECIENTOS CUARENTA Y CINCO MIL NOVECIENTOS TREINTA Y CINCO PESOS M/CTE ($3.745.935); interés de plazo UN MILLÓN SEISCIENTOS SETENTA MIL NOVECIENTOS TREINTA Y CINCO PESOS M/CTE ($1.670.935); mora SESENTA Y SIETE MIL SEISCIENTOS SESENTA Y DOS PESOS M/CTE ($67.662); total CINCO MILLONES CUATROCIENTOS OCHENTA Y CUATRO MIL QUINIENTOS TREINTA Y DOS PESOS M/CTE ($5.484.532). [ACTUALIZAR Y REPRODUCIR].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2. DIAGNÓSTICO COMO JUEZ Y COMO DEFENSA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específica: El vencimiento facial antecede en 93 días al final del plan (7 de octubre de 2026); existe un movimiento «CO» que aplica capital y mora sin acuerdo fuente, y la mora reconstruida no coincide con el resumen. No fijar exigibilidad, saldo ni cautela con esos soportes históricos.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Como juez: estos defectos impiden liberar el expediente y, según su naturaleza, pueden conducir a inadmisión, rechazo o remisión por falta de competencia, o negativa del mandamiento por insuficiencia sustancial del título.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Como defensa: revisar calidad de cada firmante, pago, acuerdos y movimientos internos, llenado contrario a instrucciones, prescripción, falta de legitimación, pacto arbitral, tasa excesiva, anatocismo, doble cobro, notificación y exceso cautelar.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Cautela/activo: FOPEP y dos inmuebles sin matrícula aparecen únicamente en soportes históricos de 2022. Confirmar condición actual de pensionada, pagador, mesada neta y descuentos; para inmuebles exigir folio, ORIP, titularidad y gravámenes actuales.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3. MATRIZ DATO–SOPORTE MÍNIMA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D01 — Pagaré y firmantes — PAGARÉ 1911000986.pdf, pp. 1–2 y revisión integral de 3 páginas — EVIDENCIADO EN COPIA DIGITAL; original/custodia pendientes.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D02 — Datos faciales — PAGARÉ 1911000986.pdf, p. 1 — EVIDENCIADOS SEGÚN LECTURA; modalidad de tasa y cualquier trazo tenue quedan por confirmar.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D03 — Capital, interés, mora y movimientos — EXTRACTO 41526686.PDF, 3 páginas — EVIDENCIADOS COMO RESUMEN HISTÓRICO; NO REPRODUCIBLES SIN MEMORIA.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D04 — Identidad, solicitud, plan y pistas patrimoniales — CC 41526686 PAGARE 1911000986.pdf, 7 páginas — USO HISTÓRICO; revisar vigencia y página exacta.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D05 — Poder, certificado, arbitraje, insolvencia, domicilio/canales y activo actual — NO VERIFICADOS; bloquean cierre.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añadir para cada hecho final: código, proposición exacta, archivo, página, fecha, certeza, contradicción y decisión].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4. GATES DEL PROTOCOLO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G0 — AMARILLO — Vigencia normativa: contrastada para este paquete; repetir consulta oficial el día de presentación, incluida reglamentación de arbitraje, insolvencia, cuantía, tasas y canales.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 — AMARILLO/ROJO — Identidad y legitimación: nombres y cédulas fueron transcritos; [COMPLETAR — calidad individual de cada firma, estado civil cuando importe, tenedor actual y legitimación].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G2 — ROJO — Personería: [COMPLETAR — certificado vigente, representante, poder, mensaje de datos, correo mercantil, sociedad apoderada si interviene, acto de representación/sustitución y correo RNA].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G3 — ROJO — Jurisdicción y arbitraje: [COMPLETAR — revisar contrato, solicitud, anexos y pacto arbitral ejecutivo conforme a la Ley 2540 de 2025].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G4 — ROJO — Competencia y cuantía: pista histórica de ciudad/agencia: Bogotá D.C.. [COMPLETAR — domicilio actual, lugar de cumplimiento, despacho y SMLMV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G5 — ROJO — Título ejecutivo: [COMPLETAR — claridad, expresividad, exigibilidad, liquidabilidad, tenedor y coincidencia con obligación subyacente].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G6 — ROJO — Pagaré y llenado: [COMPLETAR — original, todas las páginas/reversos, fecha/persona/fuente de llenado, instrucciones y explicación de diferencias].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G7 — ROJO — Incumplimiento: [COMPLETAR — una sola fecha y causa de exigibilidad, cláusula, evento, aceleración, comunicación y efecto por cada firmante].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G8 — ROJO — Prescripción: [COMPLETAR — fecha jurídicamente válida de vencimiento, término individual, interrupciones, margen del artículo 94 CGP y control del artículo 317].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G8.1 — REGISTRO INDIVIDUAL POR FIRMANTE — MARÍA AMELIA CABIEDES PLATA: [COMPLETAR PARA CADA PERSONA — vencimiento jurídicamente adoptado; fecha límite de la acción cambiaria; interrupciones/suspensiones con soporte; fecha interna máxima de presentación; fecha de notificación y control del artículo 94 CGP; revisor y fecha].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G9 — ROJO — Capital e intereses: [COMPLETAR — desembolso, refinanciación, todos los pagos y movimientos, memoria por periodo, tasa oficial, ausencia de anatocismo y saldo del día].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G10 — ROJO — Insolvencia/sucesión/procesos: [COMPLETAR — consulta actual e individual de cada firmante, radicado, autoridad, fecha y efecto].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G11 — ROJO — Justicia digital, anexos y cautela: [COMPLETAR — canales y fuente, índice coincidente, PDFs finales, activo actual individualizado, límite y oficio oficial].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5. INVENTARIO CONGELADO E ÍNDICE DE ANEXOS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A01 — PAGARÉ 1911000986.pdf — 3 páginas — SHA-256 e1343ac3410ac6bf… — EXISTE; título correcto seleccionado por prefijo «PAGARÉ» — fecha/versión: [COMPLETAR] — legibilidad: [COMPLETAR — INTEGRAL/PARCIAL Y OBSERVACIÓN; CONFRONTAR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A02 — EXTRACTO 41526686.PDF — 3 páginas — SHA-256 71546930e962d960… — EXISTE; corte 6 de julio de 2026 — versión/emisor: [COMPLETAR] — legibilidad: [COMPLETAR — INTEGRAL/PARCIAL Y OBSERVACIÓN].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A03 — CC 41526686 PAGARE 1911000986.pdf — 7 páginas — SHA-256 4cd853c2d4110441… — EXISTE; paquete de apoyo histórico — fecha/versión: [COMPLETAR] — legibilidad: [COMPLETAR — INTEGRAL/PARCIAL Y OBSERVACIÓN].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A04 — [COMPLETAR — certificado vigente de CREARCOOP y, si interviene, de la sociedad apoderada].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A05 — [COMPLETAR — poder, mensaje de datos, correos, sustitución/designación y documentos de la abogada].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A06 — [COMPLETAR — certificación contable, movimientos completos, pagos posteriores y memoria actualizada].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A07 — [COMPLETAR — acta de llenado, custodia, no circulación, contrato completo y arbitraje].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A08 — [COMPLETAR — domicilio/canales con fuente; insolvencia, sucesión y procesos paralelos].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A09 — [COMPLETAR — fuente oficial actual del activo y documentos particulares de la cautela].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[ELIMINAR ANEXOS INEXISTENTES; numerar archivo final, fecha, páginas, tamaño, hash y proposición que soporta].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6. MEMORIA DE LIQUIDACIÓN — HOJA DE CIERRE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Referencia histórica al 6 de julio de 2026: capital $3.745.935 + interés de plazo $1.670.935 + mora $67.662 = $5.484.532.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L01 — Capital original/cargo: [COMPLETAR — naturaleza, fecha, soporte, monto bruto y neto].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L02 — Capital amortizado: [COMPLETAR — cada pago, fecha, comprobante y orden de imputación].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L03 — Capital insoluto al presentar: [COMPLETAR — certificación firmada y conciliación].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L04 — Interés de plazo: [COMPLETAR — capital base, fecha inicial/final, tasa, modalidad, conversión, días, pagos y subtotal por periodo].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L05 — Mora histórica: [COMPLETAR — capital de cada cuota o saldo acelerado, exigibilidad, tasa oficial por periodo, días, pagos y subtotal, sin solape].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L06 — Mora posterior al corte: [COMPLETAR — continuar únicamente desde el día siguiente al último periodo liquidado, sobre capital vencido validado].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L07 — Otros rubros: [COMPLETAR — seguro/costo/ajuste con fuente, o eliminar]. No capitalizar intereses salvo supuesto legal excepcional expresamente acreditado y revisado, incluido el control del artículo 886 del Código de Comercio; no cobrar rubros no titulados.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TOTAL PARA CUANTÍA AL PRESENTAR = capital validado + accesorios causados y exigibles computables. [COMPLETAR — total, SMLMV vigente y categoría].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7. MATRIZ CAUTELAR — ACTIVAR SOLO CON FUENTE ACTUAL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MC-01 — Firmante afectado y calidad acreditada: [COMPLETAR] — bien/derecho exacto: [COMPLETAR] — identificador: [COMPLETAR] — tercero/oficina: [COMPLETAR] — fuente oficial y fecha: [COMPLETAR] — inembargabilidad/preferencia y límite especial según el tipo de bien —incluido el artículo 593.10 CGP cuando corresponda—: [COMPLETAR] — límite global del artículo 599 CGP: [COMPLETAR] — monto: [COMPLETAR] — utilidad/proporcionalidad: [COMPLETAR] — módulo: [ACTIVO/ELIMINADO].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MC-02 — [REPETIR SOLO SI EXISTE OTRA MEDIDA INDIVIDUALIZADA Y SOPORTADA; DE LO CONTRARIO, ELIMINAR].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No se incluyen búsquedas indiscriminadas, ‘todos los bienes’, ‘todos los bancos’, porcentajes automáticos ni medidas sin fuente actual. Si no existe una medida individualizada y soportada, G11 no se cierra y el escrito cautelar no se libera.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8. ACTA FINAL DE CONTROL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Cero corchetes, alternativas, instrucciones, comentarios, resaltados y datos ajenos.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Razón social, personería, partes, firmas, título, obligación y anexos coinciden.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Original, llenado, exigibilidad, prescripción, pagos, tasa y memoria cerrados.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Jurisdicción/arbitraje, competencia, cuantía, insolvencia y procesos verificados.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Canales, juramento digital, envío previo/excepción, cautela y oficios validados.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Revisión como juez, defensa y consistencia; aprobación y firma de abogada responsable.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Resultado del cierre: [COMPLETAR — ROJO / AMARILLO / VERDE]. Responsable: [●]. Fecha/hora: [●]. Firma: [●].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9. AGENDA DE SEGUIMIENTO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1 — Obtener personería y certificado vigente. Responsable: [●]. Fecha límite: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2 — Cerrar original, llenado, contrato/arbitraje y exigibilidad.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3 — Conciliar saldo, pagos, movimientos internos e intereses.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4 — Consultar insolvencia/procesos, domicilio/canales y activos actuales.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5 — Actualizar norma, despacho/canal, anexos, demanda y cautelar; ejecutar triple revisión y firma. Responsable: [●]. Fecha: [●].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10. TRIPLE REVISIÓN, CERTIFICACIÓN Y FIRMAS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R-01 — Perspectiva judicial: [COMPLETAR — causal concreta de inadmisión, negativa del mandamiento o limitación cautelar; respuesta, soporte,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R-02 — Perspectiva de contradicción: [COMPLETAR — defensas sobre título, llenado, pago, prescripción, legitimación, competencia, arbitraje, intereses, insolvencia, notificación y cautela; respuesta, soporte,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R-03 — Consistencia: [COMPLETAR — identidad entre poder, pagaré, memoria, demanda, cautelar, anexos y firma;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Con base exclusivamente en los documentos relacionados en esta ficha, los responsables que suscriben deberán certificar que confrontaron demanda, cautelar, título, poder, memoria e índice; que cada dato y cifra crítica remite a archivo y página; que no subsisten contradicciones, campos, alternativas, instrucciones, comentarios, resaltados ni datos de otro expediente; que G0–G11 cumplen; que el saldo y la inexistencia de pago posterior se confirmaron en la fecha y hora indicadas; y que la norma decisiva se verificó en fuente oficial.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Elaboró: [COMPLETAR]. Control contable: [COMPLETAR]. Revisión judicial crítica: [COMPLETAR]. Revisión desde la contradicción: [COMPLETAR]. Revisó y aprobó la abogada firmante: [COMPLETAR]. Fecha y hora: [COMPLETAR].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548235"/>
          <w:b w:val="1"/>
          <w:bCs w:val="1"/>
        </w:rPr>
        <w:t xml:space="preserve">MÁXIMO ESTADO PERMITIDO: VERDE — APTO PARA REVISIÓN Y FIRMA HUMANA. Esta clasificación no sustituye la revisión, decisión, firma ni responsabilidad profesional de la abogada.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AUTORIZACIÓN AUTOMÁTICA DE RADICACIÓN: NO. La radicación exige firma profesional y ejecución documentada de los controles finales inmediatamente previos a la presentación.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Nota: la marca NO RADICAR solo puede retirarse después de acta VERDE firmada por la abogada responsable.</w:t>
      </w:r>
    </w:p>
    <w:sectPr w:rsidR="00F754D3" w:rsidRPr="00EE63A2">
      <w:headerReference w:type="even" r:id="rId13"/>
      <w:headerReference w:type="default" r:id="rId14"/>
      <w:footerReference w:type="default" r:id="rId15"/>
      <w:headerReference w:type="first" r:id="rId16"/>
      <w:pgSz w:w="12240" w:h="20160"/>
      <w:pgMar w:top="2268" w:right="1474" w:bottom="2268" w:left="1418" w:header="0" w:footer="15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95114" w14:textId="77777777" w:rsidR="003B3EFA" w:rsidRDefault="003B3EFA">
      <w:pPr>
        <w:spacing w:line="240" w:lineRule="auto"/>
      </w:pPr>
      <w:r>
        <w:separator/>
      </w:r>
    </w:p>
  </w:endnote>
  <w:endnote w:type="continuationSeparator" w:id="0">
    <w:p w14:paraId="129F3DDD" w14:textId="77777777" w:rsidR="003B3EFA" w:rsidRDefault="003B3E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898220-9C79-4904-AEA2-510944DB20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724454F-9072-4FA8-9641-386D6B1815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CCF008-3F87-4C82-BC28-7C246055E3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3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-1701"/>
      <w:rPr>
        <w:color w:val="000000"/>
      </w:rPr>
    </w:pPr>
  </w:p>
  <w:p w14:paraId="7D521AD4" w14:textId="77777777" w:rsidR="00FF7404" w:rsidRDefault="00F57F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D521ADB" wp14:editId="7D521ADC">
          <wp:simplePos x="0" y="0"/>
          <wp:positionH relativeFrom="column">
            <wp:posOffset>-900427</wp:posOffset>
          </wp:positionH>
          <wp:positionV relativeFrom="paragraph">
            <wp:posOffset>186690</wp:posOffset>
          </wp:positionV>
          <wp:extent cx="7772400" cy="1219149"/>
          <wp:effectExtent l="0" t="0" r="0" b="0"/>
          <wp:wrapNone/>
          <wp:docPr id="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219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D5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437E4" w14:textId="77777777" w:rsidR="003B3EFA" w:rsidRDefault="003B3EFA">
      <w:pPr>
        <w:spacing w:line="240" w:lineRule="auto"/>
      </w:pPr>
      <w:r>
        <w:separator/>
      </w:r>
    </w:p>
  </w:footnote>
  <w:footnote w:type="continuationSeparator" w:id="0">
    <w:p w14:paraId="3C4853F6" w14:textId="77777777" w:rsidR="003B3EFA" w:rsidRDefault="003B3E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9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left:0;text-align:left;margin-left:0;margin-top:0;width:201.05pt;height:147.5pt;z-index:-251656704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A" w14:textId="77777777" w:rsidR="00FF7404" w:rsidRDefault="00F57F5A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  <w:r>
      <w:rPr>
        <w:noProof/>
      </w:rPr>
      <w:drawing>
        <wp:anchor distT="0" distB="0" distL="0" distR="0" simplePos="0" relativeHeight="251655680" behindDoc="1" locked="0" layoutInCell="1" hidden="0" allowOverlap="1" wp14:anchorId="7D521AD8" wp14:editId="7D521AD9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CB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C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D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  <w:p w14:paraId="7D521ACE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CF" w14:textId="6B2DE568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pict w14:anchorId="7D521A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0;margin-top:0;width:249.3pt;height:182.9pt;z-index:-251658752;mso-position-horizontal:center;mso-position-horizontal-relative:margin;mso-position-vertical:center;mso-position-vertical-relative:margin">
          <v:imagedata r:id="rId2" o:title="image4"/>
          <w10:wrap anchorx="margin" anchory="margin"/>
        </v:shape>
      </w:pict>
    </w:r>
    <w:r w:rsidR="00F57F5A">
      <w:rPr>
        <w:color w:val="000000"/>
      </w:rPr>
      <w:fldChar w:fldCharType="begin"/>
    </w:r>
    <w:r w:rsidR="00F57F5A">
      <w:rPr>
        <w:color w:val="000000"/>
      </w:rPr>
      <w:instrText>PAGE</w:instrText>
    </w:r>
    <w:r w:rsidR="00F57F5A">
      <w:rPr>
        <w:color w:val="000000"/>
      </w:rPr>
      <w:fldChar w:fldCharType="separate"/>
    </w:r>
    <w:r w:rsidR="00192A32">
      <w:rPr>
        <w:noProof/>
        <w:color w:val="000000"/>
      </w:rPr>
      <w:t>1</w:t>
    </w:r>
    <w:r w:rsidR="00F57F5A">
      <w:rPr>
        <w:color w:val="000000"/>
      </w:rPr>
      <w:fldChar w:fldCharType="end"/>
    </w:r>
  </w:p>
  <w:p w14:paraId="7D521AD0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1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2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6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left:0;text-align:left;margin-left:0;margin-top:0;width:201.05pt;height:147.5pt;z-index:-251657728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C80"/>
    <w:multiLevelType w:val="multilevel"/>
    <w:tmpl w:val="3B3CC29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97FA8"/>
    <w:multiLevelType w:val="multilevel"/>
    <w:tmpl w:val="65CA72F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D7E3B00"/>
    <w:multiLevelType w:val="hybridMultilevel"/>
    <w:tmpl w:val="3FD2EC5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F00563"/>
    <w:multiLevelType w:val="hybridMultilevel"/>
    <w:tmpl w:val="A15A69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52096"/>
    <w:multiLevelType w:val="multilevel"/>
    <w:tmpl w:val="9022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65606"/>
    <w:multiLevelType w:val="hybridMultilevel"/>
    <w:tmpl w:val="1DCC97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80503"/>
    <w:multiLevelType w:val="multilevel"/>
    <w:tmpl w:val="DDA6B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947BFC"/>
    <w:multiLevelType w:val="hybridMultilevel"/>
    <w:tmpl w:val="A796AA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C82973"/>
    <w:multiLevelType w:val="multilevel"/>
    <w:tmpl w:val="D79AF0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04975965">
    <w:abstractNumId w:val="8"/>
  </w:num>
  <w:num w:numId="2" w16cid:durableId="461070781">
    <w:abstractNumId w:val="1"/>
  </w:num>
  <w:num w:numId="3" w16cid:durableId="244804199">
    <w:abstractNumId w:val="6"/>
  </w:num>
  <w:num w:numId="4" w16cid:durableId="1802532378">
    <w:abstractNumId w:val="0"/>
  </w:num>
  <w:num w:numId="5" w16cid:durableId="655230946">
    <w:abstractNumId w:val="4"/>
  </w:num>
  <w:num w:numId="6" w16cid:durableId="452209928">
    <w:abstractNumId w:val="7"/>
  </w:num>
  <w:num w:numId="7" w16cid:durableId="551889346">
    <w:abstractNumId w:val="5"/>
  </w:num>
  <w:num w:numId="8" w16cid:durableId="401949670">
    <w:abstractNumId w:val="3"/>
  </w:num>
  <w:num w:numId="9" w16cid:durableId="1123579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404"/>
    <w:rsid w:val="00000A40"/>
    <w:rsid w:val="00004E5E"/>
    <w:rsid w:val="000508DB"/>
    <w:rsid w:val="00051C0B"/>
    <w:rsid w:val="0006101C"/>
    <w:rsid w:val="000737DF"/>
    <w:rsid w:val="000838B0"/>
    <w:rsid w:val="00085B11"/>
    <w:rsid w:val="00093697"/>
    <w:rsid w:val="000A1456"/>
    <w:rsid w:val="000B2F2E"/>
    <w:rsid w:val="000B401A"/>
    <w:rsid w:val="000B507D"/>
    <w:rsid w:val="000C42B6"/>
    <w:rsid w:val="000D3FC4"/>
    <w:rsid w:val="000E0349"/>
    <w:rsid w:val="000E66B7"/>
    <w:rsid w:val="000E7A5B"/>
    <w:rsid w:val="000F0681"/>
    <w:rsid w:val="000F1BCD"/>
    <w:rsid w:val="000F7712"/>
    <w:rsid w:val="00102B50"/>
    <w:rsid w:val="001266F7"/>
    <w:rsid w:val="0015773C"/>
    <w:rsid w:val="00161B8E"/>
    <w:rsid w:val="00161B93"/>
    <w:rsid w:val="0016715F"/>
    <w:rsid w:val="00174459"/>
    <w:rsid w:val="00184BA6"/>
    <w:rsid w:val="00192A32"/>
    <w:rsid w:val="0019506E"/>
    <w:rsid w:val="00195DDE"/>
    <w:rsid w:val="001C2B08"/>
    <w:rsid w:val="001C5AD6"/>
    <w:rsid w:val="001D3E1F"/>
    <w:rsid w:val="001E22CC"/>
    <w:rsid w:val="001F2793"/>
    <w:rsid w:val="002024FF"/>
    <w:rsid w:val="002057A6"/>
    <w:rsid w:val="00217B0F"/>
    <w:rsid w:val="0022748C"/>
    <w:rsid w:val="00251305"/>
    <w:rsid w:val="002539F4"/>
    <w:rsid w:val="0026060C"/>
    <w:rsid w:val="00266353"/>
    <w:rsid w:val="00272F6D"/>
    <w:rsid w:val="002763DD"/>
    <w:rsid w:val="00280AC1"/>
    <w:rsid w:val="00282A39"/>
    <w:rsid w:val="0029059A"/>
    <w:rsid w:val="002B08B2"/>
    <w:rsid w:val="002C4BF1"/>
    <w:rsid w:val="002E0342"/>
    <w:rsid w:val="002E268F"/>
    <w:rsid w:val="002F3155"/>
    <w:rsid w:val="002F53FB"/>
    <w:rsid w:val="002F543D"/>
    <w:rsid w:val="002F6793"/>
    <w:rsid w:val="003127EA"/>
    <w:rsid w:val="003137E5"/>
    <w:rsid w:val="00315534"/>
    <w:rsid w:val="00315BD9"/>
    <w:rsid w:val="003362A6"/>
    <w:rsid w:val="00337B50"/>
    <w:rsid w:val="003411DF"/>
    <w:rsid w:val="003414F8"/>
    <w:rsid w:val="00342734"/>
    <w:rsid w:val="0034649E"/>
    <w:rsid w:val="00371A6D"/>
    <w:rsid w:val="00371EE3"/>
    <w:rsid w:val="003A4F9A"/>
    <w:rsid w:val="003B21A7"/>
    <w:rsid w:val="003B3EFA"/>
    <w:rsid w:val="003C1FF4"/>
    <w:rsid w:val="003C51B7"/>
    <w:rsid w:val="003E034A"/>
    <w:rsid w:val="003E1B84"/>
    <w:rsid w:val="003E4032"/>
    <w:rsid w:val="003E6B79"/>
    <w:rsid w:val="003F1EEE"/>
    <w:rsid w:val="003F33C3"/>
    <w:rsid w:val="00401244"/>
    <w:rsid w:val="00402201"/>
    <w:rsid w:val="00405036"/>
    <w:rsid w:val="004121F6"/>
    <w:rsid w:val="0041490C"/>
    <w:rsid w:val="00417A9B"/>
    <w:rsid w:val="004279B9"/>
    <w:rsid w:val="0044068B"/>
    <w:rsid w:val="00440FED"/>
    <w:rsid w:val="00442314"/>
    <w:rsid w:val="004544EE"/>
    <w:rsid w:val="004550CC"/>
    <w:rsid w:val="004618EB"/>
    <w:rsid w:val="0048084A"/>
    <w:rsid w:val="00492450"/>
    <w:rsid w:val="00494B6E"/>
    <w:rsid w:val="004A34F2"/>
    <w:rsid w:val="004A5F99"/>
    <w:rsid w:val="004C53EC"/>
    <w:rsid w:val="004E745E"/>
    <w:rsid w:val="00502DC0"/>
    <w:rsid w:val="005235A1"/>
    <w:rsid w:val="00523A42"/>
    <w:rsid w:val="005268EF"/>
    <w:rsid w:val="00537D0A"/>
    <w:rsid w:val="00581D6C"/>
    <w:rsid w:val="005A532C"/>
    <w:rsid w:val="005B33A0"/>
    <w:rsid w:val="005C4DEB"/>
    <w:rsid w:val="005D1A16"/>
    <w:rsid w:val="005D1D8C"/>
    <w:rsid w:val="005E3A10"/>
    <w:rsid w:val="005F5B9D"/>
    <w:rsid w:val="00607B90"/>
    <w:rsid w:val="00623CAB"/>
    <w:rsid w:val="006604BD"/>
    <w:rsid w:val="0066589E"/>
    <w:rsid w:val="00671770"/>
    <w:rsid w:val="00684556"/>
    <w:rsid w:val="0069169E"/>
    <w:rsid w:val="006A6216"/>
    <w:rsid w:val="006B3892"/>
    <w:rsid w:val="006C06A9"/>
    <w:rsid w:val="006C0A85"/>
    <w:rsid w:val="006D376E"/>
    <w:rsid w:val="006D4E53"/>
    <w:rsid w:val="006D7035"/>
    <w:rsid w:val="006E38C5"/>
    <w:rsid w:val="006E7520"/>
    <w:rsid w:val="006E7C9B"/>
    <w:rsid w:val="006F15C4"/>
    <w:rsid w:val="006F543D"/>
    <w:rsid w:val="00705FA7"/>
    <w:rsid w:val="00707531"/>
    <w:rsid w:val="00723249"/>
    <w:rsid w:val="0077186A"/>
    <w:rsid w:val="00774F34"/>
    <w:rsid w:val="00782D8C"/>
    <w:rsid w:val="00784C1B"/>
    <w:rsid w:val="007960C2"/>
    <w:rsid w:val="007C086E"/>
    <w:rsid w:val="007C1910"/>
    <w:rsid w:val="007D194D"/>
    <w:rsid w:val="007E417B"/>
    <w:rsid w:val="007E4BD7"/>
    <w:rsid w:val="007E66A1"/>
    <w:rsid w:val="008155C6"/>
    <w:rsid w:val="0084009F"/>
    <w:rsid w:val="00840830"/>
    <w:rsid w:val="00843602"/>
    <w:rsid w:val="008505FC"/>
    <w:rsid w:val="00862EBC"/>
    <w:rsid w:val="00876462"/>
    <w:rsid w:val="008814E8"/>
    <w:rsid w:val="00884919"/>
    <w:rsid w:val="0088606D"/>
    <w:rsid w:val="00894526"/>
    <w:rsid w:val="0089556F"/>
    <w:rsid w:val="00895A69"/>
    <w:rsid w:val="008C270B"/>
    <w:rsid w:val="008C27D5"/>
    <w:rsid w:val="008E5F10"/>
    <w:rsid w:val="008F1493"/>
    <w:rsid w:val="008F1B04"/>
    <w:rsid w:val="008F4791"/>
    <w:rsid w:val="00900BA7"/>
    <w:rsid w:val="0091331D"/>
    <w:rsid w:val="009202FE"/>
    <w:rsid w:val="00920F39"/>
    <w:rsid w:val="00931F2B"/>
    <w:rsid w:val="00936BCF"/>
    <w:rsid w:val="009470C1"/>
    <w:rsid w:val="00966EAE"/>
    <w:rsid w:val="00983452"/>
    <w:rsid w:val="009870F8"/>
    <w:rsid w:val="00990F32"/>
    <w:rsid w:val="009B1D5A"/>
    <w:rsid w:val="009D019A"/>
    <w:rsid w:val="009F2CC3"/>
    <w:rsid w:val="009F7442"/>
    <w:rsid w:val="00A118CC"/>
    <w:rsid w:val="00A1487E"/>
    <w:rsid w:val="00A32885"/>
    <w:rsid w:val="00A40F8A"/>
    <w:rsid w:val="00A45649"/>
    <w:rsid w:val="00A506E3"/>
    <w:rsid w:val="00A516AB"/>
    <w:rsid w:val="00A54494"/>
    <w:rsid w:val="00A56ACC"/>
    <w:rsid w:val="00A61A39"/>
    <w:rsid w:val="00A669B2"/>
    <w:rsid w:val="00A74559"/>
    <w:rsid w:val="00A80DD1"/>
    <w:rsid w:val="00A97670"/>
    <w:rsid w:val="00AA6161"/>
    <w:rsid w:val="00AB0EE9"/>
    <w:rsid w:val="00AB62D9"/>
    <w:rsid w:val="00AC0BC8"/>
    <w:rsid w:val="00AE0255"/>
    <w:rsid w:val="00AF394D"/>
    <w:rsid w:val="00AF5470"/>
    <w:rsid w:val="00B13969"/>
    <w:rsid w:val="00B14D51"/>
    <w:rsid w:val="00B26E86"/>
    <w:rsid w:val="00B37DF1"/>
    <w:rsid w:val="00B833A0"/>
    <w:rsid w:val="00B85316"/>
    <w:rsid w:val="00BD3D4E"/>
    <w:rsid w:val="00BD6635"/>
    <w:rsid w:val="00BD6CD5"/>
    <w:rsid w:val="00BF2897"/>
    <w:rsid w:val="00BF6D0B"/>
    <w:rsid w:val="00BF6DED"/>
    <w:rsid w:val="00C15C99"/>
    <w:rsid w:val="00C16B38"/>
    <w:rsid w:val="00C27506"/>
    <w:rsid w:val="00C3245A"/>
    <w:rsid w:val="00C477CA"/>
    <w:rsid w:val="00C673BA"/>
    <w:rsid w:val="00CA45A4"/>
    <w:rsid w:val="00CB223D"/>
    <w:rsid w:val="00CC4E22"/>
    <w:rsid w:val="00CD0D24"/>
    <w:rsid w:val="00CD595B"/>
    <w:rsid w:val="00CD7676"/>
    <w:rsid w:val="00CE679B"/>
    <w:rsid w:val="00D00F14"/>
    <w:rsid w:val="00D03378"/>
    <w:rsid w:val="00D1766E"/>
    <w:rsid w:val="00D30986"/>
    <w:rsid w:val="00D30B41"/>
    <w:rsid w:val="00D46FB6"/>
    <w:rsid w:val="00D47067"/>
    <w:rsid w:val="00D568A9"/>
    <w:rsid w:val="00D842F4"/>
    <w:rsid w:val="00DA01CE"/>
    <w:rsid w:val="00DA282F"/>
    <w:rsid w:val="00DC71A0"/>
    <w:rsid w:val="00DE7143"/>
    <w:rsid w:val="00E04B4F"/>
    <w:rsid w:val="00E15325"/>
    <w:rsid w:val="00E168F4"/>
    <w:rsid w:val="00E253D5"/>
    <w:rsid w:val="00E50DA2"/>
    <w:rsid w:val="00E5258C"/>
    <w:rsid w:val="00E81764"/>
    <w:rsid w:val="00E83FED"/>
    <w:rsid w:val="00E84A44"/>
    <w:rsid w:val="00E8711A"/>
    <w:rsid w:val="00E90A98"/>
    <w:rsid w:val="00E96BEA"/>
    <w:rsid w:val="00EA04D6"/>
    <w:rsid w:val="00EA3364"/>
    <w:rsid w:val="00EA3D44"/>
    <w:rsid w:val="00EA55B7"/>
    <w:rsid w:val="00EB75A0"/>
    <w:rsid w:val="00EB7E5B"/>
    <w:rsid w:val="00EC036B"/>
    <w:rsid w:val="00EC556B"/>
    <w:rsid w:val="00ED1DED"/>
    <w:rsid w:val="00ED3BAF"/>
    <w:rsid w:val="00ED620C"/>
    <w:rsid w:val="00EE54DE"/>
    <w:rsid w:val="00EE63A2"/>
    <w:rsid w:val="00EF0E06"/>
    <w:rsid w:val="00EF696E"/>
    <w:rsid w:val="00F0247F"/>
    <w:rsid w:val="00F11FBA"/>
    <w:rsid w:val="00F14C25"/>
    <w:rsid w:val="00F1634C"/>
    <w:rsid w:val="00F27CB4"/>
    <w:rsid w:val="00F46A37"/>
    <w:rsid w:val="00F51A06"/>
    <w:rsid w:val="00F57F5A"/>
    <w:rsid w:val="00F72684"/>
    <w:rsid w:val="00F754D3"/>
    <w:rsid w:val="00F756A6"/>
    <w:rsid w:val="00F763B4"/>
    <w:rsid w:val="00F828E5"/>
    <w:rsid w:val="00F9312B"/>
    <w:rsid w:val="00FB4960"/>
    <w:rsid w:val="00FF21B2"/>
    <w:rsid w:val="00FF7404"/>
    <w:rsid w:val="00FF7734"/>
    <w:rsid w:val="00F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21A54"/>
  <w15:docId w15:val="{AEA5C82D-0A35-4A5F-BF7C-CB10BA4A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3A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</w:rPr>
  </w:style>
  <w:style w:type="character" w:styleId="Hipervnculo">
    <w:name w:val="Hyperlink"/>
    <w:basedOn w:val="Fuentedeprrafopredeter"/>
    <w:uiPriority w:val="99"/>
    <w:unhideWhenUsed/>
    <w:rsid w:val="00A516A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16A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F14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1493"/>
  </w:style>
  <w:style w:type="paragraph" w:styleId="Piedepgina">
    <w:name w:val="footer"/>
    <w:basedOn w:val="Normal"/>
    <w:link w:val="PiedepginaCar"/>
    <w:uiPriority w:val="99"/>
    <w:unhideWhenUsed/>
    <w:rsid w:val="008505F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cierre 1911000986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