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  <w:sz w:val="28"/>
          <w:szCs w:val="28"/>
        </w:rPr>
        <w:t xml:space="preserve">FICHA DE CIERRE JURÍDICO — PARA COMPLETAR Y REVISAR — NO RADICAR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CIRCULACIÓN RESTRINGIDA — CONTIENE DATOS PERSONALES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Documento interno complementario. No sustituye la demanda, la cautelar, la liquidación firmada ni la revisión de la abogada. Todo texto entre corchetes bloquea el cierre.</w:t>
      </w:r>
    </w:p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1F4E78"/>
          <w:b w:val="1"/>
          <w:bCs w:val="1"/>
        </w:rPr>
        <w:t xml:space="preserve">CASO 03/26 — PAGARÉ No. 1912000833 — OBLIGACIÓN No. 10-1912000833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  <w:sz w:val="26"/>
          <w:szCs w:val="26"/>
        </w:rPr>
        <w:t xml:space="preserve">SEMÁFORO GENERAL: ROJO — NO APTO PARA FIRMA NI RADICACIÓN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0. CONTROL DE VERSIÓN Y TRAZABILIDAD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Expediente interno: [COMPLETAR]. Versión de ficha: 1.0. Fecha de generación: 21 de julio de 2026. Corte documental y contable histórico: 6 de julio de 2026. Corte normativo y de consultas para presentar: [COMPLETAR — FECHA Y HORA].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Custodio y ubicación del original: [COMPLETAR]. Elaboró: [COMPLETAR]. Control contable: [COMPLETAR]. Revisión jurídica: [COMPLETAR]. Abogada firmante: [COMPLETAR].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Demanda vinculada: 01_DEMANDA_1912000833_PARA_COMPLETAR_NO_RADICAR.docx — SHA-256 4363ca9ce1c299d7…. Cautelar vinculada: 02_CAUTELAR_1912000833_PARA_COMPLETAR_NO_RADICAR.docx — SHA-256 3cb2c47f11367a44….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Homologación: [COMPLETAR — identificar versión aprobada de demanda y cautelar y documentar cualquier modificación al texto fijo]. No se acreditó una versión canónica liberada para firma.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BF9000"/>
        </w:rPr>
        <w:t xml:space="preserve">Auditoría integral disponible en ENTREGABLES_1912000833_V2; incluye reconciliación contable interna, pero no una liquidación autónoma certificada.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1. IDENTIFICACIÓN Y RESUMEN EJECUTIVO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Acreedora documental: COOPERATIVA DE AHORRO Y CRÉDITO CREAR LTDA. — CREARCOOP, NIT 890.981.459-4. [CONFRONTAR CON CERTIFICADO VIGENTE].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Firmantes: ÁNGELA YISELA RESTREPO VARÓN — C.C. 1.033.789.770 — primer firmante de control; calidad individual pendiente de cierre | JOSÉ EFRAÍN HINCAPIÉ VILLA — C.C. 1.061.655.910 — firmante adicional; calidad individual pendiente de cierre.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Producto literal del extracto: «MICROEMPRESARIAL NUEVOS INFORMALES». Primer cargo/apertura registrado: 20 de septiembre de 2022 por SEIS MILLONES DE PESOS M/CTE ($6.000.000). [NO CONFUNDIR CON DESEMBOLSO NETO SIN COMPROBANTE].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Lectura facial de control: Otorgamiento: 20 de septiembre de 2022; 36 cuotas mensuales; capital facial: $6.000.000; interés facial: $852.162; tasa facial 39,29 % [COMPLETAR — MODALIDAD FACIAL; NO PRESUMIR E.A. O N.A.M.V.]; vencimiento facial: 6 de julio de 2026. [CONFRONTAR ORIGINAL FÍSICO Y NO INFERIR MODALIDAD DE TASA].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ALERTA CRÍTICA DE LLENADO: el interés facial ($852.162) coincide exactamente con el saldo histórico de interés del extracto ($852.162). La coincidencia ocurre en los 26 expedientes y no prueba por sí sola el valor originalmente pactado; exige trazabilidad documental de cuándo, por quién y con qué fuente se diligenció el pagaré.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Saldo histórico al 6 de julio de 2026: capital TRES MILLONES OCHOCIENTOS OCHENTA Y DOS MIL SEISCIENTOS CINCUENTA Y DOS PESOS M/CTE ($3.882.652); interés de plazo OCHOCIENTOS CINCUENTA Y DOS MIL CIENTO SESENTA Y DOS PESOS M/CTE ($852.162); mora UN MILLÓN CUATROCIENTOS VEINTIÚN MIL CUATROCIENTOS CUARENTA Y CUATRO PESOS M/CTE ($1.421.444); total SEIS MILLONES CIENTO CINCUENTA Y SEIS MIL DOSCIENTOS CINCUENTA Y OCHO PESOS M/CTE ($6.156.258). [ACTUALIZAR Y REPRODUCIR].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2. DIAGNÓSTICO COMO JUEZ Y COMO DEFENSA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Alerta específica: El vencimiento facial es aproximadamente 289 días posterior al plan; las reconstrucciones de interés y mora difieren del resumen y existe un movimiento «CO» sin acuerdo fuente. Es expediente espejo del pagaré 1912000835 con roles invertidos: definir acumulación o estrategia coordinada y evitar doble afectación cautelar.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Como juez: estos defectos impiden liberar el expediente y, según su naturaleza, pueden conducir a inadmisión, rechazo o remisión por falta de competencia, o negativa del mandamiento por insuficiencia sustancial del título.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Como defensa: revisar calidad de cada firmante, pago, acuerdos y movimientos internos, llenado contrario a instrucciones, prescripción, falta de legitimación, pacto arbitral, tasa excesiva, anatocismo, doble cobro, notificación y exceso cautelar.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BF9000"/>
        </w:rPr>
        <w:t xml:space="preserve">Cautela/activo: Vehículo Nissan placa FLJ238 declarado históricamente por el firmante adicional señalado históricamente como codeudor —calidad por verificar—, sin certificado actual; exigir RUNT/tránsito, titularidad, identificación técnica, servicio, gravámenes y avalúo. La vivienda atribuida a Ángela carece de matrícula.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3. MATRIZ DATO–SOPORTE MÍNIMA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D01 — Pagaré y firmantes — PAGARÉ 1912000833.pdf, pp. 1–2 y revisión integral de 3 páginas — EVIDENCIADO EN COPIA DIGITAL; original/custodia pendientes.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D02 — Datos faciales — PAGARÉ 1912000833.pdf, p. 1 — EVIDENCIADOS SEGÚN LECTURA; modalidad de tasa y cualquier trazo tenue quedan por confirmar.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D03 — Capital, interés, mora y movimientos — EXTRACTO 1033789770.PDF, 3 páginas — EVIDENCIADOS COMO RESUMEN HISTÓRICO; NO REPRODUCIBLES SIN MEMORIA.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D04 — Identidad, solicitud, plan y pistas patrimoniales — CC 1033789770 PAGARE 1912000833.pdf, 10 páginas — USO HISTÓRICO; revisar vigencia y página exacta.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D05 — Poder, certificado, arbitraje, insolvencia, domicilio/canales y activo actual — NO VERIFICADOS; bloquean cierre.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añadir para cada hecho final: código, proposición exacta, archivo, página, fecha, certeza, contradicción y decisión].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4. GATES DEL PROTOCOLO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G0 — AMARILLO — Vigencia normativa: contrastada para este paquete; repetir consulta oficial el día de presentación, incluida reglamentación de arbitraje, insolvencia, cuantía, tasas y canales.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G1 — AMARILLO/ROJO — Identidad y legitimación: nombres y cédulas fueron transcritos; [COMPLETAR — calidad individual de cada firma, estado civil cuando importe, tenedor actual y legitimación].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G2 — ROJO — Personería: [COMPLETAR — certificado vigente, representante, poder, mensaje de datos, correo mercantil, sociedad apoderada si interviene, acto de representación/sustitución y correo RNA].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G3 — ROJO — Jurisdicción y arbitraje: [COMPLETAR — revisar contrato, solicitud, anexos y pacto arbitral ejecutivo conforme a la Ley 2540 de 2025].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G4 — ROJO — Competencia y cuantía: pista histórica de ciudad/agencia: Bogotá D.C.. [COMPLETAR — domicilio actual, lugar de cumplimiento, despacho y SMLMV vigente].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G5 — ROJO — Título ejecutivo: [COMPLETAR — claridad, expresividad, exigibilidad, liquidabilidad, tenedor y coincidencia con obligación subyacente].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G6 — ROJO — Pagaré y llenado: [COMPLETAR — original, todas las páginas/reversos, fecha/persona/fuente de llenado, instrucciones y explicación de diferencias].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G7 — ROJO — Incumplimiento: [COMPLETAR — una sola fecha y causa de exigibilidad, cláusula, evento, aceleración, comunicación y efecto por cada firmante].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G8 — ROJO — Prescripción: [COMPLETAR — fecha jurídicamente válida de vencimiento, término individual, interrupciones, margen del artículo 94 CGP y control del artículo 317].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G8.1 — REGISTRO INDIVIDUAL POR FIRMANTE — ÁNGELA YISELA RESTREPO VARÓN; JOSÉ EFRAÍN HINCAPIÉ VILLA: [COMPLETAR PARA CADA PERSONA — vencimiento jurídicamente adoptado; fecha límite de la acción cambiaria; interrupciones/suspensiones con soporte; fecha interna máxima de presentación; fecha de notificación y control del artículo 94 CGP; revisor y fecha].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G9 — ROJO — Capital e intereses: [COMPLETAR — desembolso, refinanciación, todos los pagos y movimientos, memoria por periodo, tasa oficial, ausencia de anatocismo y saldo del día].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G10 — ROJO — Insolvencia/sucesión/procesos: [COMPLETAR — consulta actual e individual de cada firmante, radicado, autoridad, fecha y efecto].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G11 — ROJO — Justicia digital, anexos y cautela: [COMPLETAR — canales y fuente, índice coincidente, PDFs finales, activo actual individualizado, límite y oficio oficial].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5. INVENTARIO CONGELADO E ÍNDICE DE ANEXOS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A01 — PAGARÉ 1912000833.pdf — 3 páginas — SHA-256 d1404c1ee1741729… — EXISTE; título correcto seleccionado por prefijo «PAGARÉ» — fecha/versión: [COMPLETAR] — legibilidad: [COMPLETAR — INTEGRAL/PARCIAL Y OBSERVACIÓN; CONFRONTAR ORIGINAL].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A02 — EXTRACTO 1033789770.PDF — 3 páginas — SHA-256 3d0ba7cd4310d852… — EXISTE; corte 6 de julio de 2026 — versión/emisor: [COMPLETAR] — legibilidad: [COMPLETAR — INTEGRAL/PARCIAL Y OBSERVACIÓN].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A03 — CC 1033789770 PAGARE 1912000833.pdf — 10 páginas — SHA-256 67affae8d1cb956f… — EXISTE; paquete de apoyo histórico — fecha/versión: [COMPLETAR] — legibilidad: [COMPLETAR — INTEGRAL/PARCIAL Y OBSERVACIÓN].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A04 — [COMPLETAR — certificado vigente de CREARCOOP y, si interviene, de la sociedad apoderada].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A05 — [COMPLETAR — poder, mensaje de datos, correos, sustitución/designación y documentos de la abogada].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A06 — [COMPLETAR — certificación contable, movimientos completos, pagos posteriores y memoria actualizada].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A07 — [COMPLETAR — acta de llenado, custodia, no circulación, contrato completo y arbitraje].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A08 — [COMPLETAR — domicilio/canales con fuente; insolvencia, sucesión y procesos paralelos].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A09 — [COMPLETAR — fuente oficial actual del activo y documentos particulares de la cautela].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[ELIMINAR ANEXOS INEXISTENTES; numerar archivo final, fecha, páginas, tamaño, hash y proposición que soporta].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6. MEMORIA DE LIQUIDACIÓN — HOJA DE CIERRE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Referencia histórica al 6 de julio de 2026: capital $3.882.652 + interés de plazo $852.162 + mora $1.421.444 = $6.156.258.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L01 — Capital original/cargo: [COMPLETAR — naturaleza, fecha, soporte, monto bruto y neto].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L02 — Capital amortizado: [COMPLETAR — cada pago, fecha, comprobante y orden de imputación].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L03 — Capital insoluto al presentar: [COMPLETAR — certificación firmada y conciliación].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L04 — Interés de plazo: [COMPLETAR — capital base, fecha inicial/final, tasa, modalidad, conversión, días, pagos y subtotal por periodo].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L05 — Mora histórica: [COMPLETAR — capital de cada cuota o saldo acelerado, exigibilidad, tasa oficial por periodo, días, pagos y subtotal, sin solape].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L06 — Mora posterior al corte: [COMPLETAR — continuar únicamente desde el día siguiente al último periodo liquidado, sobre capital vencido validado].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L07 — Otros rubros: [COMPLETAR — seguro/costo/ajuste con fuente, o eliminar]. No capitalizar intereses salvo supuesto legal excepcional expresamente acreditado y revisado, incluido el control del artículo 886 del Código de Comercio; no cobrar rubros no titulados.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TOTAL PARA CUANTÍA AL PRESENTAR = capital validado + accesorios causados y exigibles computables. [COMPLETAR — total, SMLMV vigente y categoría].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7. MATRIZ CAUTELAR — ACTIVAR SOLO CON FUENTE ACTUAL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MC-01 — Firmante afectado y calidad acreditada: [COMPLETAR] — bien/derecho exacto: [COMPLETAR] — identificador: [COMPLETAR] — tercero/oficina: [COMPLETAR] — fuente oficial y fecha: [COMPLETAR] — inembargabilidad/preferencia y límite especial según el tipo de bien —incluido el artículo 593.10 CGP cuando corresponda—: [COMPLETAR] — límite global del artículo 599 CGP: [COMPLETAR] — monto: [COMPLETAR] — utilidad/proporcionalidad: [COMPLETAR] — módulo: [ACTIVO/ELIMINADO].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MC-02 — [REPETIR SOLO SI EXISTE OTRA MEDIDA INDIVIDUALIZADA Y SOPORTADA; DE LO CONTRARIO, ELIMINAR].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No se incluyen búsquedas indiscriminadas, ‘todos los bienes’, ‘todos los bancos’, porcentajes automáticos ni medidas sin fuente actual. Si no existe una medida individualizada y soportada, G11 no se cierra y el escrito cautelar no se libera.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8. ACTA FINAL DE CONTROL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Cero corchetes, alternativas, instrucciones, comentarios, resaltados y datos ajenos.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Razón social, personería, partes, firmas, título, obligación y anexos coinciden.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Original, llenado, exigibilidad, prescripción, pagos, tasa y memoria cerrados.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Jurisdicción/arbitraje, competencia, cuantía, insolvencia y procesos verificados.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Canales, juramento digital, envío previo/excepción, cautela y oficios validados.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Revisión como juez, defensa y consistencia; aprobación y firma de abogada responsable.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Resultado del cierre: [COMPLETAR — ROJO / AMARILLO / VERDE]. Responsable: [●]. Fecha/hora: [●]. Firma: [●].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9. AGENDA DE SEGUIMIENTO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1 — Obtener personería y certificado vigente. Responsable: [●]. Fecha límite: [●]. Evidencia: [●].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2 — Cerrar original, llenado, contrato/arbitraje y exigibilidad. Responsable: [●]. Fecha: [●]. Evidencia: [●].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3 — Conciliar saldo, pagos, movimientos internos e intereses. Responsable: [●]. Fecha: [●]. Evidencia: [●].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4 — Consultar insolvencia/procesos, domicilio/canales y activos actuales. Responsable: [●]. Fecha: [●]. Evidencia: [●].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5 — Actualizar norma, despacho/canal, anexos, demanda y cautelar; ejecutar triple revisión y firma. Responsable: [●]. Fecha: [●].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10. TRIPLE REVISIÓN, CERTIFICACIÓN Y FIRMAS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R-01 — Perspectiva judicial: [COMPLETAR — causal concreta de inadmisión, negativa del mandamiento o limitación cautelar; respuesta, soporte, resultado y revisor].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R-02 — Perspectiva de contradicción: [COMPLETAR — defensas sobre título, llenado, pago, prescripción, legitimación, competencia, arbitraje, intereses, insolvencia, notificación y cautela; respuesta, soporte, resultado y revisor].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R-03 — Consistencia: [COMPLETAR — identidad entre poder, pagaré, memoria, demanda, cautelar, anexos y firma; resultado y revisor].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Con base exclusivamente en los documentos relacionados en esta ficha, los responsables que suscriben deberán certificar que confrontaron demanda, cautelar, título, poder, memoria e índice; que cada dato y cifra crítica remite a archivo y página; que no subsisten contradicciones, campos, alternativas, instrucciones, comentarios, resaltados ni datos de otro expediente; que G0–G11 cumplen; que el saldo y la inexistencia de pago posterior se confirmaron en la fecha y hora indicadas; y que la norma decisiva se verificó en fuente oficial.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Elaboró: [COMPLETAR]. Control contable: [COMPLETAR]. Revisión judicial crítica: [COMPLETAR]. Revisión desde la contradicción: [COMPLETAR]. Revisó y aprobó la abogada firmante: [COMPLETAR]. Fecha y hora: [COMPLETAR].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548235"/>
          <w:b w:val="1"/>
          <w:bCs w:val="1"/>
        </w:rPr>
        <w:t xml:space="preserve">MÁXIMO ESTADO PERMITIDO: VERDE — APTO PARA REVISIÓN Y FIRMA HUMANA. Esta clasificación no sustituye la revisión, decisión, firma ni responsabilidad profesional de la abogada.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AUTORIZACIÓN AUTOMÁTICA DE RADICACIÓN: NO. La radicación exige firma profesional y ejecución documentada de los controles finales inmediatamente previos a la presentación.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Nota: la marca NO RADICAR solo puede retirarse después de acta VERDE firmada por la abogada responsable.</w:t>
      </w:r>
    </w:p>
    <w:sectPr w:rsidR="00F754D3" w:rsidRPr="00EE63A2">
      <w:headerReference w:type="even" r:id="rId13"/>
      <w:headerReference w:type="default" r:id="rId14"/>
      <w:footerReference w:type="default" r:id="rId15"/>
      <w:headerReference w:type="first" r:id="rId16"/>
      <w:pgSz w:w="12240" w:h="20160"/>
      <w:pgMar w:top="2268" w:right="1474" w:bottom="2268" w:left="1418" w:header="0" w:footer="15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A95114" w14:textId="77777777" w:rsidR="003B3EFA" w:rsidRDefault="003B3EFA">
      <w:pPr>
        <w:spacing w:line="240" w:lineRule="auto"/>
      </w:pPr>
      <w:r>
        <w:separator/>
      </w:r>
    </w:p>
  </w:endnote>
  <w:endnote w:type="continuationSeparator" w:id="0">
    <w:p w14:paraId="129F3DDD" w14:textId="77777777" w:rsidR="003B3EFA" w:rsidRDefault="003B3E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8898220-9C79-4904-AEA2-510944DB200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724454F-9072-4FA8-9641-386D6B1815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CCCF008-3F87-4C82-BC28-7C246055E3A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3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left="-1701"/>
      <w:rPr>
        <w:color w:val="000000"/>
      </w:rPr>
    </w:pPr>
  </w:p>
  <w:p w14:paraId="7D521AD4" w14:textId="77777777" w:rsidR="00FF7404" w:rsidRDefault="00F57F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6704" behindDoc="0" locked="0" layoutInCell="1" hidden="0" allowOverlap="1" wp14:anchorId="7D521ADB" wp14:editId="7D521ADC">
          <wp:simplePos x="0" y="0"/>
          <wp:positionH relativeFrom="column">
            <wp:posOffset>-900427</wp:posOffset>
          </wp:positionH>
          <wp:positionV relativeFrom="paragraph">
            <wp:posOffset>186690</wp:posOffset>
          </wp:positionV>
          <wp:extent cx="7772400" cy="1219149"/>
          <wp:effectExtent l="0" t="0" r="0" b="0"/>
          <wp:wrapNone/>
          <wp:docPr id="3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1219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D5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4437E4" w14:textId="77777777" w:rsidR="003B3EFA" w:rsidRDefault="003B3EFA">
      <w:pPr>
        <w:spacing w:line="240" w:lineRule="auto"/>
      </w:pPr>
      <w:r>
        <w:separator/>
      </w:r>
    </w:p>
  </w:footnote>
  <w:footnote w:type="continuationSeparator" w:id="0">
    <w:p w14:paraId="3C4853F6" w14:textId="77777777" w:rsidR="003B3EFA" w:rsidRDefault="003B3EF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9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left:0;text-align:left;margin-left:0;margin-top:0;width:201.05pt;height:147.5pt;z-index:-251656704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A" w14:textId="77777777" w:rsidR="00FF7404" w:rsidRDefault="00F57F5A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  <w:r>
      <w:rPr>
        <w:noProof/>
      </w:rPr>
      <w:drawing>
        <wp:anchor distT="0" distB="0" distL="0" distR="0" simplePos="0" relativeHeight="251655680" behindDoc="1" locked="0" layoutInCell="1" hidden="0" allowOverlap="1" wp14:anchorId="7D521AD8" wp14:editId="7D521AD9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3743325" cy="1604963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43325" cy="16049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CB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C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D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  <w:p w14:paraId="7D521ACE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CF" w14:textId="6B2DE568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  <w:rPr>
        <w:color w:val="000000"/>
      </w:rPr>
    </w:pPr>
    <w:r>
      <w:pict w14:anchorId="7D521AD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7" type="#_x0000_t75" alt="" style="position:absolute;left:0;text-align:left;margin-left:0;margin-top:0;width:249.3pt;height:182.9pt;z-index:-251658752;mso-position-horizontal:center;mso-position-horizontal-relative:margin;mso-position-vertical:center;mso-position-vertical-relative:margin">
          <v:imagedata r:id="rId2" o:title="image4"/>
          <w10:wrap anchorx="margin" anchory="margin"/>
        </v:shape>
      </w:pict>
    </w:r>
    <w:r w:rsidR="00F57F5A">
      <w:rPr>
        <w:color w:val="000000"/>
      </w:rPr>
      <w:fldChar w:fldCharType="begin"/>
    </w:r>
    <w:r w:rsidR="00F57F5A">
      <w:rPr>
        <w:color w:val="000000"/>
      </w:rPr>
      <w:instrText>PAGE</w:instrText>
    </w:r>
    <w:r w:rsidR="00F57F5A">
      <w:rPr>
        <w:color w:val="000000"/>
      </w:rPr>
      <w:fldChar w:fldCharType="separate"/>
    </w:r>
    <w:r w:rsidR="00192A32">
      <w:rPr>
        <w:noProof/>
        <w:color w:val="000000"/>
      </w:rPr>
      <w:t>1</w:t>
    </w:r>
    <w:r w:rsidR="00F57F5A">
      <w:rPr>
        <w:color w:val="000000"/>
      </w:rPr>
      <w:fldChar w:fldCharType="end"/>
    </w:r>
  </w:p>
  <w:p w14:paraId="7D521AD0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1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2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6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left:0;text-align:left;margin-left:0;margin-top:0;width:201.05pt;height:147.5pt;z-index:-251657728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D7C80"/>
    <w:multiLevelType w:val="multilevel"/>
    <w:tmpl w:val="3B3CC29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97FA8"/>
    <w:multiLevelType w:val="multilevel"/>
    <w:tmpl w:val="65CA72F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D7E3B00"/>
    <w:multiLevelType w:val="hybridMultilevel"/>
    <w:tmpl w:val="3FD2EC5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F00563"/>
    <w:multiLevelType w:val="hybridMultilevel"/>
    <w:tmpl w:val="A15A699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252096"/>
    <w:multiLevelType w:val="multilevel"/>
    <w:tmpl w:val="9022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A65606"/>
    <w:multiLevelType w:val="hybridMultilevel"/>
    <w:tmpl w:val="1DCC978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580503"/>
    <w:multiLevelType w:val="multilevel"/>
    <w:tmpl w:val="DDA6BC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D947BFC"/>
    <w:multiLevelType w:val="hybridMultilevel"/>
    <w:tmpl w:val="A796AAD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C82973"/>
    <w:multiLevelType w:val="multilevel"/>
    <w:tmpl w:val="D79AF0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04975965">
    <w:abstractNumId w:val="8"/>
  </w:num>
  <w:num w:numId="2" w16cid:durableId="461070781">
    <w:abstractNumId w:val="1"/>
  </w:num>
  <w:num w:numId="3" w16cid:durableId="244804199">
    <w:abstractNumId w:val="6"/>
  </w:num>
  <w:num w:numId="4" w16cid:durableId="1802532378">
    <w:abstractNumId w:val="0"/>
  </w:num>
  <w:num w:numId="5" w16cid:durableId="655230946">
    <w:abstractNumId w:val="4"/>
  </w:num>
  <w:num w:numId="6" w16cid:durableId="452209928">
    <w:abstractNumId w:val="7"/>
  </w:num>
  <w:num w:numId="7" w16cid:durableId="551889346">
    <w:abstractNumId w:val="5"/>
  </w:num>
  <w:num w:numId="8" w16cid:durableId="401949670">
    <w:abstractNumId w:val="3"/>
  </w:num>
  <w:num w:numId="9" w16cid:durableId="11235798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404"/>
    <w:rsid w:val="00000A40"/>
    <w:rsid w:val="00004E5E"/>
    <w:rsid w:val="000508DB"/>
    <w:rsid w:val="00051C0B"/>
    <w:rsid w:val="0006101C"/>
    <w:rsid w:val="000737DF"/>
    <w:rsid w:val="000838B0"/>
    <w:rsid w:val="00085B11"/>
    <w:rsid w:val="00093697"/>
    <w:rsid w:val="000A1456"/>
    <w:rsid w:val="000B2F2E"/>
    <w:rsid w:val="000B401A"/>
    <w:rsid w:val="000B507D"/>
    <w:rsid w:val="000C42B6"/>
    <w:rsid w:val="000D3FC4"/>
    <w:rsid w:val="000E0349"/>
    <w:rsid w:val="000E66B7"/>
    <w:rsid w:val="000E7A5B"/>
    <w:rsid w:val="000F0681"/>
    <w:rsid w:val="000F1BCD"/>
    <w:rsid w:val="000F7712"/>
    <w:rsid w:val="00102B50"/>
    <w:rsid w:val="001266F7"/>
    <w:rsid w:val="0015773C"/>
    <w:rsid w:val="00161B8E"/>
    <w:rsid w:val="00161B93"/>
    <w:rsid w:val="0016715F"/>
    <w:rsid w:val="00174459"/>
    <w:rsid w:val="00184BA6"/>
    <w:rsid w:val="00192A32"/>
    <w:rsid w:val="0019506E"/>
    <w:rsid w:val="00195DDE"/>
    <w:rsid w:val="001C2B08"/>
    <w:rsid w:val="001C5AD6"/>
    <w:rsid w:val="001D3E1F"/>
    <w:rsid w:val="001E22CC"/>
    <w:rsid w:val="001F2793"/>
    <w:rsid w:val="002024FF"/>
    <w:rsid w:val="002057A6"/>
    <w:rsid w:val="00217B0F"/>
    <w:rsid w:val="0022748C"/>
    <w:rsid w:val="00251305"/>
    <w:rsid w:val="002539F4"/>
    <w:rsid w:val="0026060C"/>
    <w:rsid w:val="00266353"/>
    <w:rsid w:val="00272F6D"/>
    <w:rsid w:val="002763DD"/>
    <w:rsid w:val="00280AC1"/>
    <w:rsid w:val="00282A39"/>
    <w:rsid w:val="0029059A"/>
    <w:rsid w:val="002B08B2"/>
    <w:rsid w:val="002C4BF1"/>
    <w:rsid w:val="002E0342"/>
    <w:rsid w:val="002E268F"/>
    <w:rsid w:val="002F3155"/>
    <w:rsid w:val="002F53FB"/>
    <w:rsid w:val="002F543D"/>
    <w:rsid w:val="002F6793"/>
    <w:rsid w:val="003127EA"/>
    <w:rsid w:val="003137E5"/>
    <w:rsid w:val="00315534"/>
    <w:rsid w:val="00315BD9"/>
    <w:rsid w:val="003362A6"/>
    <w:rsid w:val="00337B50"/>
    <w:rsid w:val="003411DF"/>
    <w:rsid w:val="003414F8"/>
    <w:rsid w:val="00342734"/>
    <w:rsid w:val="0034649E"/>
    <w:rsid w:val="00371A6D"/>
    <w:rsid w:val="00371EE3"/>
    <w:rsid w:val="003A4F9A"/>
    <w:rsid w:val="003B21A7"/>
    <w:rsid w:val="003B3EFA"/>
    <w:rsid w:val="003C1FF4"/>
    <w:rsid w:val="003C51B7"/>
    <w:rsid w:val="003E034A"/>
    <w:rsid w:val="003E1B84"/>
    <w:rsid w:val="003E4032"/>
    <w:rsid w:val="003E6B79"/>
    <w:rsid w:val="003F1EEE"/>
    <w:rsid w:val="003F33C3"/>
    <w:rsid w:val="00401244"/>
    <w:rsid w:val="00402201"/>
    <w:rsid w:val="00405036"/>
    <w:rsid w:val="004121F6"/>
    <w:rsid w:val="0041490C"/>
    <w:rsid w:val="00417A9B"/>
    <w:rsid w:val="004279B9"/>
    <w:rsid w:val="0044068B"/>
    <w:rsid w:val="00440FED"/>
    <w:rsid w:val="00442314"/>
    <w:rsid w:val="004544EE"/>
    <w:rsid w:val="004550CC"/>
    <w:rsid w:val="004618EB"/>
    <w:rsid w:val="0048084A"/>
    <w:rsid w:val="00492450"/>
    <w:rsid w:val="00494B6E"/>
    <w:rsid w:val="004A34F2"/>
    <w:rsid w:val="004A5F99"/>
    <w:rsid w:val="004C53EC"/>
    <w:rsid w:val="004E745E"/>
    <w:rsid w:val="00502DC0"/>
    <w:rsid w:val="005235A1"/>
    <w:rsid w:val="00523A42"/>
    <w:rsid w:val="005268EF"/>
    <w:rsid w:val="00537D0A"/>
    <w:rsid w:val="00581D6C"/>
    <w:rsid w:val="005A532C"/>
    <w:rsid w:val="005B33A0"/>
    <w:rsid w:val="005C4DEB"/>
    <w:rsid w:val="005D1A16"/>
    <w:rsid w:val="005D1D8C"/>
    <w:rsid w:val="005E3A10"/>
    <w:rsid w:val="005F5B9D"/>
    <w:rsid w:val="00607B90"/>
    <w:rsid w:val="00623CAB"/>
    <w:rsid w:val="006604BD"/>
    <w:rsid w:val="0066589E"/>
    <w:rsid w:val="00671770"/>
    <w:rsid w:val="00684556"/>
    <w:rsid w:val="0069169E"/>
    <w:rsid w:val="006A6216"/>
    <w:rsid w:val="006B3892"/>
    <w:rsid w:val="006C06A9"/>
    <w:rsid w:val="006C0A85"/>
    <w:rsid w:val="006D376E"/>
    <w:rsid w:val="006D4E53"/>
    <w:rsid w:val="006D7035"/>
    <w:rsid w:val="006E38C5"/>
    <w:rsid w:val="006E7520"/>
    <w:rsid w:val="006E7C9B"/>
    <w:rsid w:val="006F15C4"/>
    <w:rsid w:val="006F543D"/>
    <w:rsid w:val="00705FA7"/>
    <w:rsid w:val="00707531"/>
    <w:rsid w:val="00723249"/>
    <w:rsid w:val="0077186A"/>
    <w:rsid w:val="00774F34"/>
    <w:rsid w:val="00782D8C"/>
    <w:rsid w:val="00784C1B"/>
    <w:rsid w:val="007960C2"/>
    <w:rsid w:val="007C086E"/>
    <w:rsid w:val="007C1910"/>
    <w:rsid w:val="007D194D"/>
    <w:rsid w:val="007E417B"/>
    <w:rsid w:val="007E4BD7"/>
    <w:rsid w:val="007E66A1"/>
    <w:rsid w:val="008155C6"/>
    <w:rsid w:val="0084009F"/>
    <w:rsid w:val="00840830"/>
    <w:rsid w:val="00843602"/>
    <w:rsid w:val="008505FC"/>
    <w:rsid w:val="00862EBC"/>
    <w:rsid w:val="00876462"/>
    <w:rsid w:val="008814E8"/>
    <w:rsid w:val="00884919"/>
    <w:rsid w:val="0088606D"/>
    <w:rsid w:val="00894526"/>
    <w:rsid w:val="0089556F"/>
    <w:rsid w:val="00895A69"/>
    <w:rsid w:val="008C270B"/>
    <w:rsid w:val="008C27D5"/>
    <w:rsid w:val="008E5F10"/>
    <w:rsid w:val="008F1493"/>
    <w:rsid w:val="008F1B04"/>
    <w:rsid w:val="008F4791"/>
    <w:rsid w:val="00900BA7"/>
    <w:rsid w:val="0091331D"/>
    <w:rsid w:val="009202FE"/>
    <w:rsid w:val="00920F39"/>
    <w:rsid w:val="00931F2B"/>
    <w:rsid w:val="00936BCF"/>
    <w:rsid w:val="009470C1"/>
    <w:rsid w:val="00966EAE"/>
    <w:rsid w:val="00983452"/>
    <w:rsid w:val="009870F8"/>
    <w:rsid w:val="00990F32"/>
    <w:rsid w:val="009B1D5A"/>
    <w:rsid w:val="009D019A"/>
    <w:rsid w:val="009F2CC3"/>
    <w:rsid w:val="009F7442"/>
    <w:rsid w:val="00A118CC"/>
    <w:rsid w:val="00A1487E"/>
    <w:rsid w:val="00A32885"/>
    <w:rsid w:val="00A40F8A"/>
    <w:rsid w:val="00A45649"/>
    <w:rsid w:val="00A506E3"/>
    <w:rsid w:val="00A516AB"/>
    <w:rsid w:val="00A54494"/>
    <w:rsid w:val="00A56ACC"/>
    <w:rsid w:val="00A61A39"/>
    <w:rsid w:val="00A669B2"/>
    <w:rsid w:val="00A74559"/>
    <w:rsid w:val="00A80DD1"/>
    <w:rsid w:val="00A97670"/>
    <w:rsid w:val="00AA6161"/>
    <w:rsid w:val="00AB0EE9"/>
    <w:rsid w:val="00AB62D9"/>
    <w:rsid w:val="00AC0BC8"/>
    <w:rsid w:val="00AE0255"/>
    <w:rsid w:val="00AF394D"/>
    <w:rsid w:val="00AF5470"/>
    <w:rsid w:val="00B13969"/>
    <w:rsid w:val="00B14D51"/>
    <w:rsid w:val="00B26E86"/>
    <w:rsid w:val="00B37DF1"/>
    <w:rsid w:val="00B833A0"/>
    <w:rsid w:val="00B85316"/>
    <w:rsid w:val="00BD3D4E"/>
    <w:rsid w:val="00BD6635"/>
    <w:rsid w:val="00BD6CD5"/>
    <w:rsid w:val="00BF2897"/>
    <w:rsid w:val="00BF6D0B"/>
    <w:rsid w:val="00BF6DED"/>
    <w:rsid w:val="00C15C99"/>
    <w:rsid w:val="00C16B38"/>
    <w:rsid w:val="00C27506"/>
    <w:rsid w:val="00C3245A"/>
    <w:rsid w:val="00C477CA"/>
    <w:rsid w:val="00C673BA"/>
    <w:rsid w:val="00CA45A4"/>
    <w:rsid w:val="00CB223D"/>
    <w:rsid w:val="00CC4E22"/>
    <w:rsid w:val="00CD0D24"/>
    <w:rsid w:val="00CD595B"/>
    <w:rsid w:val="00CD7676"/>
    <w:rsid w:val="00CE679B"/>
    <w:rsid w:val="00D00F14"/>
    <w:rsid w:val="00D03378"/>
    <w:rsid w:val="00D1766E"/>
    <w:rsid w:val="00D30986"/>
    <w:rsid w:val="00D30B41"/>
    <w:rsid w:val="00D46FB6"/>
    <w:rsid w:val="00D47067"/>
    <w:rsid w:val="00D568A9"/>
    <w:rsid w:val="00D842F4"/>
    <w:rsid w:val="00DA01CE"/>
    <w:rsid w:val="00DA282F"/>
    <w:rsid w:val="00DC71A0"/>
    <w:rsid w:val="00DE7143"/>
    <w:rsid w:val="00E04B4F"/>
    <w:rsid w:val="00E15325"/>
    <w:rsid w:val="00E168F4"/>
    <w:rsid w:val="00E253D5"/>
    <w:rsid w:val="00E50DA2"/>
    <w:rsid w:val="00E5258C"/>
    <w:rsid w:val="00E81764"/>
    <w:rsid w:val="00E83FED"/>
    <w:rsid w:val="00E84A44"/>
    <w:rsid w:val="00E8711A"/>
    <w:rsid w:val="00E90A98"/>
    <w:rsid w:val="00E96BEA"/>
    <w:rsid w:val="00EA04D6"/>
    <w:rsid w:val="00EA3364"/>
    <w:rsid w:val="00EA3D44"/>
    <w:rsid w:val="00EA55B7"/>
    <w:rsid w:val="00EB75A0"/>
    <w:rsid w:val="00EB7E5B"/>
    <w:rsid w:val="00EC036B"/>
    <w:rsid w:val="00EC556B"/>
    <w:rsid w:val="00ED1DED"/>
    <w:rsid w:val="00ED3BAF"/>
    <w:rsid w:val="00ED620C"/>
    <w:rsid w:val="00EE54DE"/>
    <w:rsid w:val="00EE63A2"/>
    <w:rsid w:val="00EF0E06"/>
    <w:rsid w:val="00EF696E"/>
    <w:rsid w:val="00F0247F"/>
    <w:rsid w:val="00F11FBA"/>
    <w:rsid w:val="00F14C25"/>
    <w:rsid w:val="00F1634C"/>
    <w:rsid w:val="00F27CB4"/>
    <w:rsid w:val="00F46A37"/>
    <w:rsid w:val="00F51A06"/>
    <w:rsid w:val="00F57F5A"/>
    <w:rsid w:val="00F72684"/>
    <w:rsid w:val="00F754D3"/>
    <w:rsid w:val="00F756A6"/>
    <w:rsid w:val="00F763B4"/>
    <w:rsid w:val="00F828E5"/>
    <w:rsid w:val="00F9312B"/>
    <w:rsid w:val="00FB4960"/>
    <w:rsid w:val="00FF21B2"/>
    <w:rsid w:val="00FF7404"/>
    <w:rsid w:val="00FF7734"/>
    <w:rsid w:val="00FF7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521A54"/>
  <w15:docId w15:val="{AEA5C82D-0A35-4A5F-BF7C-CB10BA4A6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3A0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</w:rPr>
  </w:style>
  <w:style w:type="character" w:styleId="Hipervnculo">
    <w:name w:val="Hyperlink"/>
    <w:basedOn w:val="Fuentedeprrafopredeter"/>
    <w:uiPriority w:val="99"/>
    <w:unhideWhenUsed/>
    <w:rsid w:val="00A516A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516AB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8F149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F1493"/>
  </w:style>
  <w:style w:type="paragraph" w:styleId="Piedepgina">
    <w:name w:val="footer"/>
    <w:basedOn w:val="Normal"/>
    <w:link w:val="PiedepginaCar"/>
    <w:uiPriority w:val="99"/>
    <w:unhideWhenUsed/>
    <w:rsid w:val="008505FC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05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4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Microsoft Office Word</Application>
  <DocSecurity>0</DocSecurity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 cierre 1912000833 — no radicar</dc:title>
  <dc:subject>Estado=NO RADICAR</dc:subject>
  <dc:creator>Equipo jurídico — control interno</dc:creator>
  <cp:lastModifiedBy>Equipo jurídico — control interno</cp:lastModifiedBy>
  <cp:revision>1</cp:revision>
  <dcterms:created xsi:type="dcterms:W3CDTF">2026-07-21T00:00:00Z</dcterms:created>
  <dcterms:modified xsi:type="dcterms:W3CDTF">2026-07-21T00:00:00Z</dcterms:modified>
</cp:coreProperties>
</file>