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06/26 — PAGARÉ No. 1912000942 — OBLIGACIÓN No. 10-1912000942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01_DEMANDA_1912000942_PARA_COMPLETAR_NO_RADICAR.docx — SHA-256 93a51bf652417f93…. Cautelar vinculada: 02_CAUTELAR_1912000942_PARA_COMPLETAR_NO_RADICAR.docx — SHA-256 e43dfa20057ce4f3….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FERNANDO MAURICIO MACHETE RODRÍGUEZ — C.C. 1.024.492.842 — primer firmante de control; calidad individual pendiente de cierre | DEICY VIVIANA CABEZAS PAREDES — C.C. 1.024.522.232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 - CRÉDITO PRODUCTIVO POPULAR URBANO». Primer cargo/apertura registrado: 28 de abril de 2023 por SEIS MILLONES DE PESOS M/CTE ($6.000.000).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28 de abril de 2023; 24 cuotas mensuales; capital facial: $6.000.000; interés facial: $1.349.505; tasa facial 46,78 %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($1.349.505) coincide exactamente con el saldo histórico de interés del extracto ($1.349.505).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CUATRO MILLONES SEISCIENTOS NOVENTA Y SEIS MIL VEINTINUEVE PESOS M/CTE ($4.696.029); interés de plazo UN MILLÓN TRESCIENTOS CUARENTA Y NUEVE MIL QUINIENTOS CINCO PESOS M/CTE ($1.349.505); mora UN MILLÓN NOVECIENTOS OCHENTA Y SIETE MIL CUATROCIENTOS CUARENTA Y DOS PESOS M/CTE ($1.987.442); total OCHO MILLONES TREINTA Y DOS MIL NOVECIENTOS SETENTA Y SEIS PESOS M/CTE ($8.032.976).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plan finalizaba el 1 de mayo de 2025, 431 días antes del vencimiento facial; la mora reconstruida no coincide con el resumen y existe un ajuste «NA» sin soporte. No fijar exigibilidad ni cautela sobre el vehículo con documentos históricos.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Vehículo SsangYong, modelo 2015, placa leída provisionalmente como ZZP022, autodeclarado por Fernando Mauricio Machete Rodríguez con prenda histórica; verificar placa, RUNT/tránsito, titularidad, identificación, gravámenes y avalúo actuales.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1912000942.pdf,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1912000942.pdf,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1024492842.PDF,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1024492842 PAGARE 1912000942.pdf, 8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Bogotá D.C..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FERNANDO MAURICIO MACHETE RODRÍGUEZ; DEICY VIVIANA CABEZAS PAREDES: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1912000942.pdf — 4 páginas — SHA-256 eb0f9b46df8e4e93…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1024492842.PDF — 2 páginas — SHA-256 c9857318de8c6911…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1024492842 PAGARE 1912000942.pdf — 8 páginas — SHA-256 f604a87281d57914…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$4.696.029 + interés de plazo $1.349.505 + mora $1.987.442 = $8.032.976.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1912000942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