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08/26 — PAGARÉ No. 1913000784 — OBLIGACIÓN No. 10-1913000784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01_DEMANDA_1913000784_PARA_COMPLETAR_NO_RADICAR.docx — SHA-256 56f88f9c6d045da7…. Cautelar vinculada: 02_CAUTELAR_1913000784_PARA_COMPLETAR_NO_RADICAR.docx — SHA-256 83c253da94858e60….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VÍCTOR GARZÓN FORERO — C.C. 1.071.329.791 — primer firmante de control; calidad individual pendiente de cierre | ALBA MERCEDES CALDERÓN — C.C. 20.744.270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«MICROEMPRESARIAL NUEVOS FORMALES». Primer cargo/apertura registrado: 12 de septiembre de 2022 por SEIS MILLONES SEISCIENTOS MIL PESOS M/CTE ($6.600.000).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12 de septiembre de 2022; 36 cuotas mensuales; capital facial: $6.600.000; interés facial: $343.296; tasa facial 34,49 %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($343.296) coincide exactamente con el saldo histórico de interés del extracto ($343.296).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DOS MILLONES OCHOCIENTOS VEINTINUEVE MIL SEISCIENTOS VEINTICUATRO PESOS M/CTE ($2.829.624); interés de plazo TRESCIENTOS CUARENTA Y TRES MIL DOSCIENTOS NOVENTA Y SEIS PESOS M/CTE ($343.296); mora SEISCIENTOS VEINTIOCHO MIL SEISCIENTOS SETENTA Y CINCO PESOS M/CTE ($628.675); total TRES MILLONES OCHOCIENTOS UN MIL QUINIENTOS NOVENTA Y CINCO PESOS M/CTE ($3.801.595).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es 295 días posterior al final del plan; la mora reconstruida no coincide con el resumen y existe un movimiento «CO» sin acuerdo fuente. Resolver la fecha única de exigibilidad y actualizar la información patrimonial.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Pistas históricas: establecimiento/taller A y D, matrícula 03227807, y cafetería de la firmante adicional señalada históricamente como codeudora —calidad por verificar—; hay valores patrimoniales contradictorios. Obtener RUES, titularidad y derechos actuales antes de solicitar embargo de establecimiento, crédito o remanente.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1913000784.pdf,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1913000784.pdf,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1071329791.PDF,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1071329791 PAGARE 1913000784.pdf, 13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Sesquilé.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VÍCTOR GARZÓN FORERO; ALBA MERCEDES CALDERÓN: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1913000784.pdf — 3 páginas — SHA-256 8e012429ac88b970…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1071329791.PDF — 3 páginas — SHA-256 a073e6bf4350c68d…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1071329791 PAGARE 1913000784.pdf — 13 páginas — SHA-256 f12c1cd2b53b9880…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$2.829.624 + interés de plazo $343.296 + mora $628.675 = $3.801.595.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1913000784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