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10/26 — PAGARÉ No. 1913000881 — OBLIGACIÓN No. 10-1913000881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01_DEMANDA_1913000881_PARA_COMPLETAR_NO_RADICAR.docx — SHA-256 e6620cfd014c0934…. Cautelar vinculada: 02_CAUTELAR_1913000881_PARA_COMPLETAR_NO_RADICAR.docx — SHA-256 f3ea6d0e324cc5cd….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MARÍA DEL ROSARIO BERRÍO LÓPEZ DE RUBIANO — C.C. 20.471.487 — primer firmante de control;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 - CRÉDITO PRODUCTIVO POPULAR URBANO». Primer cargo/apertura registrado: 17 de abril de 2023 por CINCO MILLONES CUATROCIENTOS MIL PESOS M/CTE ($5.400.000).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17 de abril de 2023; 24 cuotas mensuales; capital facial: $5.400.000; interés facial: $531.425; tasa facial 16,76517763 %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($531.425) coincide exactamente con el saldo histórico de interés del extracto ($531.425).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CUATRO MILLONES DOSCIENTOS DOS MIL SEISCIENTOS CINCUENTA Y CUATRO PESOS M/CTE ($4.202.654); interés de plazo QUINIENTOS TREINTA Y UN MIL CUATROCIENTOS VEINTICINCO PESOS M/CTE ($531.425); mora UN MILLÓN NOVECIENTOS VEINTIÚN MIL OCHOCIENTOS CINCUENTA Y TRES PESOS M/CTE ($1.921.853); total SEIS MILLONES SEISCIENTOS CINCUENTA Y CINCO MIL NOVECIENTOS TREINTA Y DOS PESOS M/CTE ($6.655.932).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La agencia facial está en blanco. Las instrucciones sobre la fecha de vencimiento no son consistentes entre páginas; no fijar mora o llenado sin trazabilidad. Actualizar titularidad del inmueble y saldo.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Consulta SNR histórica de 12 de abril de 2023: matrícula 50N-20397749, sin dirección. No acredita titularidad actual; exigir certificado de tradición vigente, ORIP, identificación y gravámenes.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1913000881.pdf,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1913000881.pdf,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20471487.PDF,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20471487 PAGARE 1913000881.pdf, 6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Chía.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MARÍA DEL ROSARIO BERRÍO LÓPEZ DE RUBIANO: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1913000881.pdf — 3 páginas — SHA-256 c605d55604e78c53…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20471487.PDF — 2 páginas — SHA-256 2ccf9ec730d7fc1a…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20471487 PAGARE 1913000881.pdf — 6 páginas — SHA-256 673ea49679daaa23…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$4.202.654 + interés de plazo $531.425 + mora $1.921.853 = $6.655.932.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1913000881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