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491348" w14:textId="5EBDB37D" w:rsidR="00EE54DE" w:rsidRPr="00EE54DE" w:rsidRDefault="005268EF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  <w:sz w:val="28"/>
          <w:szCs w:val="28"/>
        </w:rPr>
        <w:t xml:space="preserve">FICHA DE CIERRE JURÍDICO — PARA COMPLETAR Y REVISAR — NO RADICAR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CIRCULACIÓN RESTRINGIDA — CONTIENE DATOS PERSONALES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Documento interno complementario. No sustituye la demanda, la cautelar, la liquidación firmada ni la revisión de la abogada. Todo texto entre corchetes bloquea el cierre.</w:t>
      </w:r>
    </w:p>
    <w:p w14:paraId="1B491348" w14:textId="5EBDB37D" w:rsidR="00EE54DE" w:rsidRPr="00EE54DE" w:rsidRDefault="005268EF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1F4E78"/>
          <w:b w:val="1"/>
          <w:bCs w:val="1"/>
        </w:rPr>
        <w:t xml:space="preserve">CASO 13/26 — PAGARÉ No. 1914000078 — OBLIGACIÓN No. 10-1914000078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  <w:sz w:val="26"/>
          <w:szCs w:val="26"/>
        </w:rPr>
        <w:t xml:space="preserve">SEMÁFORO GENERAL: ROJO — NO APTO PARA FIRMA NI RADICACIÓN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0. CONTROL DE VERSIÓN Y TRAZABILIDAD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Expediente interno: [COMPLETAR]. Versión de ficha: 1.0. Fecha de generación: 21 de julio de 2026. Corte documental y contable histórico: 6 de julio de 2026. Corte normativo y de consultas para presentar: [COMPLETAR — FECHA Y HORA].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Custodio y ubicación del original: [COMPLETAR]. Elaboró: [COMPLETAR]. Control contable: [COMPLETAR]. Revisión jurídica: [COMPLETAR]. Abogada firmante: [COMPLETAR].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Demanda vinculada: 01_DEMANDA_1914000078_PARA_COMPLETAR_NO_RADICAR.docx — SHA-256 2df1a9a54b391de0…. Cautelar vinculada: 02_CAUTELAR_1914000078_PARA_COMPLETAR_NO_RADICAR.docx — SHA-256 d799bc210f6b79d3….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Homologación: [COMPLETAR — identificar versión aprobada de demanda y cautelar y documentar cualquier modificación al texto fijo]. No se acreditó una versión canónica liberada para firma.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BF9000"/>
        </w:rPr>
        <w:t xml:space="preserve">No existe auditoría individual previa de profundidad equivalente; esta ficha y los soportes deben cerrarse íntegramente por el equipo jurídico.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1. IDENTIFICACIÓN Y RESUMEN EJECUTIVO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Acreedora documental: COOPERATIVA DE AHORRO Y CRÉDITO CREAR LTDA. — CREARCOOP, NIT 890.981.459-4. [CONFRONTAR CON CERTIFICADO VIGENTE].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Firmantes: JUAN DAVID CORREA GIRALDO — C.C. 1.020.405.945 — primer firmante de control; calidad individual pendiente de cierre | MARÍA YANITH ÁNGEL BUITRAGO — C.C. 1.076.654.187 — firmante adicional; calidad individual pendiente de cierre.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Producto literal del extracto: «MICROCRÉDITO EMPRESARIAL». Primer cargo/apertura registrado: 30 de abril de 2019 por SIETE MILLONES DE PESOS M/CTE ($7.000.000). [NO CONFUNDIR CON DESEMBOLSO NETO SIN COMPROBANTE].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Lectura facial de control: Otorgamiento: 30 de abril de 2019; 36 cuotas mensuales; capital facial: $7.000.000; interés facial: $3.150.182; tasa facial 34,49 % [COMPLETAR — MODALIDAD FACIAL; NO PRESUMIR E.A. O N.A.M.V.]; vencimiento facial: 6 de julio de 2026. [CONFRONTAR ORIGINAL FÍSICO Y NO INFERIR MODALIDAD DE TASA].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ALERTA CRÍTICA DE LLENADO: el interés facial ($3.150.182) coincide exactamente con el saldo histórico de interés del extracto ($3.150.182). La coincidencia ocurre en los 26 expedientes y no prueba por sí sola el valor originalmente pactado; exige trazabilidad documental de cuándo, por quién y con qué fuente se diligenció el pagaré.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Saldo histórico al 6 de julio de 2026: capital SEIS MILLONES SEISCIENTOS DIECISIETE MIL SETECIENTOS OCHENTA Y UN PESOS M/CTE ($6.617.781); interés de plazo TRES MILLONES CIENTO CINCUENTA MIL CIENTO OCHENTA Y DOS PESOS M/CTE ($3.150.182); mora NUEVE MILLONES QUINIENTOS CINCO MIL CUATROCIENTOS CUARENTA PESOS M/CTE ($9.505.440); total DIECINUEVE MILLONES DOSCIENTOS SETENTA Y TRES MIL CUATROCIENTOS TRES PESOS M/CTE ($19.273.403). [ACTUALIZAR Y REPRODUCIR].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2. DIAGNÓSTICO COMO JUEZ Y COMO DEFENSA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Alerta específica: La agencia facial está en blanco y el crédito recogió o refinanció la obligación 1814000134. La cuantía de mora es superior al capital: exige trazabilidad completa del crédito anterior, aplicación de pagos, periodos, tasa máxima y control de prescripción.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Como juez: estos defectos impiden liberar el expediente y, según su naturaleza, pueden conducir a inadmisión, rechazo o remisión por falta de competencia, o negativa del mandamiento por insuficiencia sustancial del título.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Como defensa: revisar calidad de cada firmante, pago, acuerdos y movimientos internos, llenado contrario a instrucciones, prescripción, falta de legitimación, pacto arbitral, tasa excesiva, anatocismo, doble cobro, notificación y exceso cautelar.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BF9000"/>
        </w:rPr>
        <w:t xml:space="preserve">Cautela/activo: No se identificó un activo actual mediante fuente oficial; la cautela debe permanecer sin activar hasta individualizarlo.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3. MATRIZ DATO–SOPORTE MÍNIMA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D01 — Pagaré y firmantes — PAGARÉ 1914000078.pdf, pp. 1–2 y revisión integral de 3 páginas — EVIDENCIADO EN COPIA DIGITAL; original/custodia pendientes.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D02 — Datos faciales — PAGARÉ 1914000078.pdf, p. 1 — EVIDENCIADOS SEGÚN LECTURA; modalidad de tasa y cualquier trazo tenue quedan por confirmar.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D03 — Capital, interés, mora y movimientos — EXTRACTO 1020405945.PDF, 4 páginas — EVIDENCIADOS COMO RESUMEN HISTÓRICO; NO REPRODUCIBLES SIN MEMORIA.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D04 — Identidad, solicitud, plan y pistas patrimoniales — CC 1020405945 PAGARE 1914000078.pdf, 9 páginas — USO HISTÓRICO; revisar vigencia y página exacta.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D05 — Poder, certificado, arbitraje, insolvencia, domicilio/canales y activo actual — NO VERIFICADOS; bloquean cierre.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[COMPLETAR — añadir para cada hecho final: código, proposición exacta, archivo, página, fecha, certeza, contradicción y decisión].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4. GATES DEL PROTOCOLO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G0 — AMARILLO — Vigencia normativa: contrastada para este paquete; repetir consulta oficial el día de presentación, incluida reglamentación de arbitraje, insolvencia, cuantía, tasas y canales.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G1 — AMARILLO/ROJO — Identidad y legitimación: nombres y cédulas fueron transcritos; [COMPLETAR — calidad individual de cada firma, estado civil cuando importe, tenedor actual y legitimación].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G2 — ROJO — Personería: [COMPLETAR — certificado vigente, representante, poder, mensaje de datos, correo mercantil, sociedad apoderada si interviene, acto de representación/sustitución y correo RNA].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G3 — ROJO — Jurisdicción y arbitraje: [COMPLETAR — revisar contrato, solicitud, anexos y pacto arbitral ejecutivo conforme a la Ley 2540 de 2025].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G4 — ROJO — Competencia y cuantía: pista histórica de ciudad/agencia: Ubaté. [COMPLETAR — domicilio actual, lugar de cumplimiento, despacho y SMLMV vigente].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G5 — ROJO — Título ejecutivo: [COMPLETAR — claridad, expresividad, exigibilidad, liquidabilidad, tenedor y coincidencia con obligación subyacente].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G6 — ROJO — Pagaré y llenado: [COMPLETAR — original, todas las páginas/reversos, fecha/persona/fuente de llenado, instrucciones y explicación de diferencias].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G7 — ROJO — Incumplimiento: [COMPLETAR — una sola fecha y causa de exigibilidad, cláusula, evento, aceleración, comunicación y efecto por cada firmante].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G8 — ROJO — Prescripción: [COMPLETAR — fecha jurídicamente válida de vencimiento, término individual, interrupciones, margen del artículo 94 CGP y control del artículo 317].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G8.1 — REGISTRO INDIVIDUAL POR FIRMANTE — JUAN DAVID CORREA GIRALDO; MARÍA YANITH ÁNGEL BUITRAGO: [COMPLETAR PARA CADA PERSONA — vencimiento jurídicamente adoptado; fecha límite de la acción cambiaria; interrupciones/suspensiones con soporte; fecha interna máxima de presentación; fecha de notificación y control del artículo 94 CGP; revisor y fecha].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G9 — ROJO — Capital e intereses: [COMPLETAR — desembolso, refinanciación, todos los pagos y movimientos, memoria por periodo, tasa oficial, ausencia de anatocismo y saldo del día].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G10 — ROJO — Insolvencia/sucesión/procesos: [COMPLETAR — consulta actual e individual de cada firmante, radicado, autoridad, fecha y efecto].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G11 — ROJO — Justicia digital, anexos y cautela: [COMPLETAR — canales y fuente, índice coincidente, PDFs finales, activo actual individualizado, límite y oficio oficial].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5. INVENTARIO CONGELADO E ÍNDICE DE ANEXOS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A01 — PAGARÉ 1914000078.pdf — 3 páginas — SHA-256 bcf5a415c374f294… — EXISTE; título correcto seleccionado por prefijo «PAGARÉ» — fecha/versión: [COMPLETAR] — legibilidad: [COMPLETAR — INTEGRAL/PARCIAL Y OBSERVACIÓN; CONFRONTAR ORIGINAL].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A02 — EXTRACTO 1020405945.PDF — 4 páginas — SHA-256 358e063287179fe3… — EXISTE; corte 6 de julio de 2026 — versión/emisor: [COMPLETAR] — legibilidad: [COMPLETAR — INTEGRAL/PARCIAL Y OBSERVACIÓN].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A03 — CC 1020405945 PAGARE 1914000078.pdf — 9 páginas — SHA-256 d8ef3b51e12779e4… — EXISTE; paquete de apoyo histórico — fecha/versión: [COMPLETAR] — legibilidad: [COMPLETAR — INTEGRAL/PARCIAL Y OBSERVACIÓN].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A04 — [COMPLETAR — certificado vigente de CREARCOOP y, si interviene, de la sociedad apoderada].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A05 — [COMPLETAR — poder, mensaje de datos, correos, sustitución/designación y documentos de la abogada].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A06 — [COMPLETAR — certificación contable, movimientos completos, pagos posteriores y memoria actualizada].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A07 — [COMPLETAR — acta de llenado, custodia, no circulación, contrato completo y arbitraje].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A08 — [COMPLETAR — domicilio/canales con fuente; insolvencia, sucesión y procesos paralelos].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A09 — [COMPLETAR — fuente oficial actual del activo y documentos particulares de la cautela].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[ELIMINAR ANEXOS INEXISTENTES; numerar archivo final, fecha, páginas, tamaño, hash y proposición que soporta].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6. MEMORIA DE LIQUIDACIÓN — HOJA DE CIERRE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Referencia histórica al 6 de julio de 2026: capital $6.617.781 + interés de plazo $3.150.182 + mora $9.505.440 = $19.273.403.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L01 — Capital original/cargo: [COMPLETAR — naturaleza, fecha, soporte, monto bruto y neto].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L02 — Capital amortizado: [COMPLETAR — cada pago, fecha, comprobante y orden de imputación].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L03 — Capital insoluto al presentar: [COMPLETAR — certificación firmada y conciliación].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L04 — Interés de plazo: [COMPLETAR — capital base, fecha inicial/final, tasa, modalidad, conversión, días, pagos y subtotal por periodo].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L05 — Mora histórica: [COMPLETAR — capital de cada cuota o saldo acelerado, exigibilidad, tasa oficial por periodo, días, pagos y subtotal, sin solape].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L06 — Mora posterior al corte: [COMPLETAR — continuar únicamente desde el día siguiente al último periodo liquidado, sobre capital vencido validado].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L07 — Otros rubros: [COMPLETAR — seguro/costo/ajuste con fuente, o eliminar]. No capitalizar intereses salvo supuesto legal excepcional expresamente acreditado y revisado, incluido el control del artículo 886 del Código de Comercio; no cobrar rubros no titulados.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TOTAL PARA CUANTÍA AL PRESENTAR = capital validado + accesorios causados y exigibles computables. [COMPLETAR — total, SMLMV vigente y categoría].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7. MATRIZ CAUTELAR — ACTIVAR SOLO CON FUENTE ACTUAL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MC-01 — Firmante afectado y calidad acreditada: [COMPLETAR] — bien/derecho exacto: [COMPLETAR] — identificador: [COMPLETAR] — tercero/oficina: [COMPLETAR] — fuente oficial y fecha: [COMPLETAR] — inembargabilidad/preferencia y límite especial según el tipo de bien —incluido el artículo 593.10 CGP cuando corresponda—: [COMPLETAR] — límite global del artículo 599 CGP: [COMPLETAR] — monto: [COMPLETAR] — utilidad/proporcionalidad: [COMPLETAR] — módulo: [ACTIVO/ELIMINADO].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MC-02 — [REPETIR SOLO SI EXISTE OTRA MEDIDA INDIVIDUALIZADA Y SOPORTADA; DE LO CONTRARIO, ELIMINAR].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No se incluyen búsquedas indiscriminadas, ‘todos los bienes’, ‘todos los bancos’, porcentajes automáticos ni medidas sin fuente actual. Si no existe una medida individualizada y soportada, G11 no se cierra y el escrito cautelar no se libera.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8. ACTA FINAL DE CONTROL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☐ Cero corchetes, alternativas, instrucciones, comentarios, resaltados y datos ajenos.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☐ Razón social, personería, partes, firmas, título, obligación y anexos coinciden.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☐ Original, llenado, exigibilidad, prescripción, pagos, tasa y memoria cerrados.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☐ Jurisdicción/arbitraje, competencia, cuantía, insolvencia y procesos verificados.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☐ Canales, juramento digital, envío previo/excepción, cautela y oficios validados.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☐ Revisión como juez, defensa y consistencia; aprobación y firma de abogada responsable.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Resultado del cierre: [COMPLETAR — ROJO / AMARILLO / VERDE]. Responsable: [●]. Fecha/hora: [●]. Firma: [●].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9. AGENDA DE SEGUIMIENTO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PRIORIDAD 1 — Obtener personería y certificado vigente. Responsable: [●]. Fecha límite: [●]. Evidencia: [●].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PRIORIDAD 2 — Cerrar original, llenado, contrato/arbitraje y exigibilidad. Responsable: [●]. Fecha: [●]. Evidencia: [●].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PRIORIDAD 3 — Conciliar saldo, pagos, movimientos internos e intereses. Responsable: [●]. Fecha: [●]. Evidencia: [●].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PRIORIDAD 4 — Consultar insolvencia/procesos, domicilio/canales y activos actuales. Responsable: [●]. Fecha: [●]. Evidencia: [●].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PRIORIDAD 5 — Actualizar norma, despacho/canal, anexos, demanda y cautelar; ejecutar triple revisión y firma. Responsable: [●]. Fecha: [●].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10. TRIPLE REVISIÓN, CERTIFICACIÓN Y FIRMAS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R-01 — Perspectiva judicial: [COMPLETAR — causal concreta de inadmisión, negativa del mandamiento o limitación cautelar; respuesta, soporte, resultado y revisor].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R-02 — Perspectiva de contradicción: [COMPLETAR — defensas sobre título, llenado, pago, prescripción, legitimación, competencia, arbitraje, intereses, insolvencia, notificación y cautela; respuesta, soporte, resultado y revisor].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R-03 — Consistencia: [COMPLETAR — identidad entre poder, pagaré, memoria, demanda, cautelar, anexos y firma; resultado y revisor].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Con base exclusivamente en los documentos relacionados en esta ficha, los responsables que suscriben deberán certificar que confrontaron demanda, cautelar, título, poder, memoria e índice; que cada dato y cifra crítica remite a archivo y página; que no subsisten contradicciones, campos, alternativas, instrucciones, comentarios, resaltados ni datos de otro expediente; que G0–G11 cumplen; que el saldo y la inexistencia de pago posterior se confirmaron en la fecha y hora indicadas; y que la norma decisiva se verificó en fuente oficial.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Elaboró: [COMPLETAR]. Control contable: [COMPLETAR]. Revisión judicial crítica: [COMPLETAR]. Revisión desde la contradicción: [COMPLETAR]. Revisó y aprobó la abogada firmante: [COMPLETAR]. Fecha y hora: [COMPLETAR].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548235"/>
          <w:b w:val="1"/>
          <w:bCs w:val="1"/>
        </w:rPr>
        <w:t xml:space="preserve">MÁXIMO ESTADO PERMITIDO: VERDE — APTO PARA REVISIÓN Y FIRMA HUMANA. Esta clasificación no sustituye la revisión, decisión, firma ni responsabilidad profesional de la abogada.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AUTORIZACIÓN AUTOMÁTICA DE RADICACIÓN: NO. La radicación exige firma profesional y ejecución documentada de los controles finales inmediatamente previos a la presentación.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Nota: la marca NO RADICAR solo puede retirarse después de acta VERDE firmada por la abogada responsable.</w:t>
      </w:r>
    </w:p>
    <w:sectPr w:rsidR="00F754D3" w:rsidRPr="00EE63A2">
      <w:headerReference w:type="even" r:id="rId13"/>
      <w:headerReference w:type="default" r:id="rId14"/>
      <w:footerReference w:type="default" r:id="rId15"/>
      <w:headerReference w:type="first" r:id="rId16"/>
      <w:pgSz w:w="12240" w:h="20160"/>
      <w:pgMar w:top="2268" w:right="1474" w:bottom="2268" w:left="1418" w:header="0" w:footer="158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A95114" w14:textId="77777777" w:rsidR="003B3EFA" w:rsidRDefault="003B3EFA">
      <w:pPr>
        <w:spacing w:line="240" w:lineRule="auto"/>
      </w:pPr>
      <w:r>
        <w:separator/>
      </w:r>
    </w:p>
  </w:endnote>
  <w:endnote w:type="continuationSeparator" w:id="0">
    <w:p w14:paraId="129F3DDD" w14:textId="77777777" w:rsidR="003B3EFA" w:rsidRDefault="003B3EF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18898220-9C79-4904-AEA2-510944DB200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D724454F-9072-4FA8-9641-386D6B18158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CCCF008-3F87-4C82-BC28-7C246055E3A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D3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ind w:left="-1701"/>
      <w:rPr>
        <w:color w:val="000000"/>
      </w:rPr>
    </w:pPr>
  </w:p>
  <w:p w14:paraId="7D521AD4" w14:textId="77777777" w:rsidR="00FF7404" w:rsidRDefault="00F57F5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6704" behindDoc="0" locked="0" layoutInCell="1" hidden="0" allowOverlap="1" wp14:anchorId="7D521ADB" wp14:editId="7D521ADC">
          <wp:simplePos x="0" y="0"/>
          <wp:positionH relativeFrom="column">
            <wp:posOffset>-900427</wp:posOffset>
          </wp:positionH>
          <wp:positionV relativeFrom="paragraph">
            <wp:posOffset>186690</wp:posOffset>
          </wp:positionV>
          <wp:extent cx="7772400" cy="1219149"/>
          <wp:effectExtent l="0" t="0" r="0" b="0"/>
          <wp:wrapNone/>
          <wp:docPr id="3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72400" cy="121914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D521AD5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4437E4" w14:textId="77777777" w:rsidR="003B3EFA" w:rsidRDefault="003B3EFA">
      <w:pPr>
        <w:spacing w:line="240" w:lineRule="auto"/>
      </w:pPr>
      <w:r>
        <w:separator/>
      </w:r>
    </w:p>
  </w:footnote>
  <w:footnote w:type="continuationSeparator" w:id="0">
    <w:p w14:paraId="3C4853F6" w14:textId="77777777" w:rsidR="003B3EFA" w:rsidRDefault="003B3EF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C9" w14:textId="77777777" w:rsidR="00FF740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color w:val="000000"/>
      </w:rPr>
      <w:pict w14:anchorId="7D521AD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5" type="#_x0000_t75" alt="" style="position:absolute;left:0;text-align:left;margin-left:0;margin-top:0;width:201.05pt;height:147.5pt;z-index:-251656704;mso-position-horizontal:center;mso-position-horizontal-relative:margin;mso-position-vertical:center;mso-position-vertical-relative:margin">
          <v:imagedata r:id="rId1" o:title="image4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CA" w14:textId="77777777" w:rsidR="00FF7404" w:rsidRDefault="00F57F5A">
    <w:pPr>
      <w:spacing w:line="240" w:lineRule="auto"/>
      <w:rPr>
        <w:rFonts w:ascii="Arial" w:eastAsia="Arial" w:hAnsi="Arial" w:cs="Arial"/>
        <w:b/>
        <w:bCs/>
        <w:color w:val="000000"/>
        <w:sz w:val="28"/>
        <w:szCs w:val="28"/>
      </w:rPr>
    </w:pPr>
    <w:r>
      <w:rPr>
        <w:noProof/>
      </w:rPr>
      <w:drawing>
        <wp:anchor distT="0" distB="0" distL="0" distR="0" simplePos="0" relativeHeight="251655680" behindDoc="1" locked="0" layoutInCell="1" hidden="0" allowOverlap="1" wp14:anchorId="7D521AD8" wp14:editId="7D521AD9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3743325" cy="1604963"/>
          <wp:effectExtent l="0" t="0" r="0" b="0"/>
          <wp:wrapNone/>
          <wp:docPr id="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743325" cy="160496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D521ACB" w14:textId="77777777" w:rsidR="00FF7404" w:rsidRDefault="00FF7404">
    <w:pPr>
      <w:spacing w:line="240" w:lineRule="auto"/>
      <w:rPr>
        <w:rFonts w:ascii="Arial" w:eastAsia="Arial" w:hAnsi="Arial" w:cs="Arial"/>
        <w:b/>
        <w:bCs/>
        <w:color w:val="000000"/>
        <w:sz w:val="28"/>
        <w:szCs w:val="28"/>
      </w:rPr>
    </w:pPr>
  </w:p>
  <w:p w14:paraId="7D521ACC" w14:textId="77777777" w:rsidR="00FF7404" w:rsidRDefault="00FF7404">
    <w:pPr>
      <w:spacing w:line="240" w:lineRule="auto"/>
      <w:rPr>
        <w:rFonts w:ascii="Arial" w:eastAsia="Arial" w:hAnsi="Arial" w:cs="Arial"/>
        <w:b/>
        <w:bCs/>
        <w:color w:val="000000"/>
        <w:sz w:val="28"/>
        <w:szCs w:val="28"/>
      </w:rPr>
    </w:pPr>
  </w:p>
  <w:p w14:paraId="7D521ACD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</w:p>
  <w:p w14:paraId="7D521ACE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  <w:p w14:paraId="7D521ACF" w14:textId="6B2DE568" w:rsidR="00FF740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  <w:rPr>
        <w:color w:val="000000"/>
      </w:rPr>
    </w:pPr>
    <w:r>
      <w:pict w14:anchorId="7D521AD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7" type="#_x0000_t75" alt="" style="position:absolute;left:0;text-align:left;margin-left:0;margin-top:0;width:249.3pt;height:182.9pt;z-index:-251658752;mso-position-horizontal:center;mso-position-horizontal-relative:margin;mso-position-vertical:center;mso-position-vertical-relative:margin">
          <v:imagedata r:id="rId2" o:title="image4"/>
          <w10:wrap anchorx="margin" anchory="margin"/>
        </v:shape>
      </w:pict>
    </w:r>
    <w:r w:rsidR="00F57F5A">
      <w:rPr>
        <w:color w:val="000000"/>
      </w:rPr>
      <w:fldChar w:fldCharType="begin"/>
    </w:r>
    <w:r w:rsidR="00F57F5A">
      <w:rPr>
        <w:color w:val="000000"/>
      </w:rPr>
      <w:instrText>PAGE</w:instrText>
    </w:r>
    <w:r w:rsidR="00F57F5A">
      <w:rPr>
        <w:color w:val="000000"/>
      </w:rPr>
      <w:fldChar w:fldCharType="separate"/>
    </w:r>
    <w:r w:rsidR="00192A32">
      <w:rPr>
        <w:noProof/>
        <w:color w:val="000000"/>
      </w:rPr>
      <w:t>1</w:t>
    </w:r>
    <w:r w:rsidR="00F57F5A">
      <w:rPr>
        <w:color w:val="000000"/>
      </w:rPr>
      <w:fldChar w:fldCharType="end"/>
    </w:r>
  </w:p>
  <w:p w14:paraId="7D521AD0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  <w:p w14:paraId="7D521AD1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  <w:p w14:paraId="7D521AD2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D6" w14:textId="77777777" w:rsidR="00FF740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color w:val="000000"/>
      </w:rPr>
      <w:pict w14:anchorId="7D521AD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6" type="#_x0000_t75" alt="" style="position:absolute;left:0;text-align:left;margin-left:0;margin-top:0;width:201.05pt;height:147.5pt;z-index:-251657728;mso-position-horizontal:center;mso-position-horizontal-relative:margin;mso-position-vertical:center;mso-position-vertical-relative:margin">
          <v:imagedata r:id="rId1" o:title="image4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D7C80"/>
    <w:multiLevelType w:val="multilevel"/>
    <w:tmpl w:val="3B3CC29E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997FA8"/>
    <w:multiLevelType w:val="multilevel"/>
    <w:tmpl w:val="65CA72F2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D7E3B00"/>
    <w:multiLevelType w:val="hybridMultilevel"/>
    <w:tmpl w:val="3FD2EC56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EF00563"/>
    <w:multiLevelType w:val="hybridMultilevel"/>
    <w:tmpl w:val="A15A699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252096"/>
    <w:multiLevelType w:val="multilevel"/>
    <w:tmpl w:val="90221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A65606"/>
    <w:multiLevelType w:val="hybridMultilevel"/>
    <w:tmpl w:val="1DCC978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580503"/>
    <w:multiLevelType w:val="multilevel"/>
    <w:tmpl w:val="DDA6BC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D947BFC"/>
    <w:multiLevelType w:val="hybridMultilevel"/>
    <w:tmpl w:val="A796AAD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C82973"/>
    <w:multiLevelType w:val="multilevel"/>
    <w:tmpl w:val="D79AF0E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504975965">
    <w:abstractNumId w:val="8"/>
  </w:num>
  <w:num w:numId="2" w16cid:durableId="461070781">
    <w:abstractNumId w:val="1"/>
  </w:num>
  <w:num w:numId="3" w16cid:durableId="244804199">
    <w:abstractNumId w:val="6"/>
  </w:num>
  <w:num w:numId="4" w16cid:durableId="1802532378">
    <w:abstractNumId w:val="0"/>
  </w:num>
  <w:num w:numId="5" w16cid:durableId="655230946">
    <w:abstractNumId w:val="4"/>
  </w:num>
  <w:num w:numId="6" w16cid:durableId="452209928">
    <w:abstractNumId w:val="7"/>
  </w:num>
  <w:num w:numId="7" w16cid:durableId="551889346">
    <w:abstractNumId w:val="5"/>
  </w:num>
  <w:num w:numId="8" w16cid:durableId="401949670">
    <w:abstractNumId w:val="3"/>
  </w:num>
  <w:num w:numId="9" w16cid:durableId="11235798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7404"/>
    <w:rsid w:val="00000A40"/>
    <w:rsid w:val="00004E5E"/>
    <w:rsid w:val="000508DB"/>
    <w:rsid w:val="00051C0B"/>
    <w:rsid w:val="0006101C"/>
    <w:rsid w:val="000737DF"/>
    <w:rsid w:val="000838B0"/>
    <w:rsid w:val="00085B11"/>
    <w:rsid w:val="00093697"/>
    <w:rsid w:val="000A1456"/>
    <w:rsid w:val="000B2F2E"/>
    <w:rsid w:val="000B401A"/>
    <w:rsid w:val="000B507D"/>
    <w:rsid w:val="000C42B6"/>
    <w:rsid w:val="000D3FC4"/>
    <w:rsid w:val="000E0349"/>
    <w:rsid w:val="000E66B7"/>
    <w:rsid w:val="000E7A5B"/>
    <w:rsid w:val="000F0681"/>
    <w:rsid w:val="000F1BCD"/>
    <w:rsid w:val="000F7712"/>
    <w:rsid w:val="00102B50"/>
    <w:rsid w:val="001266F7"/>
    <w:rsid w:val="0015773C"/>
    <w:rsid w:val="00161B8E"/>
    <w:rsid w:val="00161B93"/>
    <w:rsid w:val="0016715F"/>
    <w:rsid w:val="00174459"/>
    <w:rsid w:val="00184BA6"/>
    <w:rsid w:val="00192A32"/>
    <w:rsid w:val="0019506E"/>
    <w:rsid w:val="00195DDE"/>
    <w:rsid w:val="001C2B08"/>
    <w:rsid w:val="001C5AD6"/>
    <w:rsid w:val="001D3E1F"/>
    <w:rsid w:val="001E22CC"/>
    <w:rsid w:val="001F2793"/>
    <w:rsid w:val="002024FF"/>
    <w:rsid w:val="002057A6"/>
    <w:rsid w:val="00217B0F"/>
    <w:rsid w:val="0022748C"/>
    <w:rsid w:val="00251305"/>
    <w:rsid w:val="002539F4"/>
    <w:rsid w:val="0026060C"/>
    <w:rsid w:val="00266353"/>
    <w:rsid w:val="00272F6D"/>
    <w:rsid w:val="002763DD"/>
    <w:rsid w:val="00280AC1"/>
    <w:rsid w:val="00282A39"/>
    <w:rsid w:val="0029059A"/>
    <w:rsid w:val="002B08B2"/>
    <w:rsid w:val="002C4BF1"/>
    <w:rsid w:val="002E0342"/>
    <w:rsid w:val="002E268F"/>
    <w:rsid w:val="002F3155"/>
    <w:rsid w:val="002F53FB"/>
    <w:rsid w:val="002F543D"/>
    <w:rsid w:val="002F6793"/>
    <w:rsid w:val="003127EA"/>
    <w:rsid w:val="003137E5"/>
    <w:rsid w:val="00315534"/>
    <w:rsid w:val="00315BD9"/>
    <w:rsid w:val="003362A6"/>
    <w:rsid w:val="00337B50"/>
    <w:rsid w:val="003411DF"/>
    <w:rsid w:val="003414F8"/>
    <w:rsid w:val="00342734"/>
    <w:rsid w:val="0034649E"/>
    <w:rsid w:val="00371A6D"/>
    <w:rsid w:val="00371EE3"/>
    <w:rsid w:val="003A4F9A"/>
    <w:rsid w:val="003B21A7"/>
    <w:rsid w:val="003B3EFA"/>
    <w:rsid w:val="003C1FF4"/>
    <w:rsid w:val="003C51B7"/>
    <w:rsid w:val="003E034A"/>
    <w:rsid w:val="003E1B84"/>
    <w:rsid w:val="003E4032"/>
    <w:rsid w:val="003E6B79"/>
    <w:rsid w:val="003F1EEE"/>
    <w:rsid w:val="003F33C3"/>
    <w:rsid w:val="00401244"/>
    <w:rsid w:val="00402201"/>
    <w:rsid w:val="00405036"/>
    <w:rsid w:val="004121F6"/>
    <w:rsid w:val="0041490C"/>
    <w:rsid w:val="00417A9B"/>
    <w:rsid w:val="004279B9"/>
    <w:rsid w:val="0044068B"/>
    <w:rsid w:val="00440FED"/>
    <w:rsid w:val="00442314"/>
    <w:rsid w:val="004544EE"/>
    <w:rsid w:val="004550CC"/>
    <w:rsid w:val="004618EB"/>
    <w:rsid w:val="0048084A"/>
    <w:rsid w:val="00492450"/>
    <w:rsid w:val="00494B6E"/>
    <w:rsid w:val="004A34F2"/>
    <w:rsid w:val="004A5F99"/>
    <w:rsid w:val="004C53EC"/>
    <w:rsid w:val="004E745E"/>
    <w:rsid w:val="00502DC0"/>
    <w:rsid w:val="005235A1"/>
    <w:rsid w:val="00523A42"/>
    <w:rsid w:val="005268EF"/>
    <w:rsid w:val="00537D0A"/>
    <w:rsid w:val="00581D6C"/>
    <w:rsid w:val="005A532C"/>
    <w:rsid w:val="005B33A0"/>
    <w:rsid w:val="005C4DEB"/>
    <w:rsid w:val="005D1A16"/>
    <w:rsid w:val="005D1D8C"/>
    <w:rsid w:val="005E3A10"/>
    <w:rsid w:val="005F5B9D"/>
    <w:rsid w:val="00607B90"/>
    <w:rsid w:val="00623CAB"/>
    <w:rsid w:val="006604BD"/>
    <w:rsid w:val="0066589E"/>
    <w:rsid w:val="00671770"/>
    <w:rsid w:val="00684556"/>
    <w:rsid w:val="0069169E"/>
    <w:rsid w:val="006A6216"/>
    <w:rsid w:val="006B3892"/>
    <w:rsid w:val="006C06A9"/>
    <w:rsid w:val="006C0A85"/>
    <w:rsid w:val="006D376E"/>
    <w:rsid w:val="006D4E53"/>
    <w:rsid w:val="006D7035"/>
    <w:rsid w:val="006E38C5"/>
    <w:rsid w:val="006E7520"/>
    <w:rsid w:val="006E7C9B"/>
    <w:rsid w:val="006F15C4"/>
    <w:rsid w:val="006F543D"/>
    <w:rsid w:val="00705FA7"/>
    <w:rsid w:val="00707531"/>
    <w:rsid w:val="00723249"/>
    <w:rsid w:val="0077186A"/>
    <w:rsid w:val="00774F34"/>
    <w:rsid w:val="00782D8C"/>
    <w:rsid w:val="00784C1B"/>
    <w:rsid w:val="007960C2"/>
    <w:rsid w:val="007C086E"/>
    <w:rsid w:val="007C1910"/>
    <w:rsid w:val="007D194D"/>
    <w:rsid w:val="007E417B"/>
    <w:rsid w:val="007E4BD7"/>
    <w:rsid w:val="007E66A1"/>
    <w:rsid w:val="008155C6"/>
    <w:rsid w:val="0084009F"/>
    <w:rsid w:val="00840830"/>
    <w:rsid w:val="00843602"/>
    <w:rsid w:val="008505FC"/>
    <w:rsid w:val="00862EBC"/>
    <w:rsid w:val="00876462"/>
    <w:rsid w:val="008814E8"/>
    <w:rsid w:val="00884919"/>
    <w:rsid w:val="0088606D"/>
    <w:rsid w:val="00894526"/>
    <w:rsid w:val="0089556F"/>
    <w:rsid w:val="00895A69"/>
    <w:rsid w:val="008C270B"/>
    <w:rsid w:val="008C27D5"/>
    <w:rsid w:val="008E5F10"/>
    <w:rsid w:val="008F1493"/>
    <w:rsid w:val="008F1B04"/>
    <w:rsid w:val="008F4791"/>
    <w:rsid w:val="00900BA7"/>
    <w:rsid w:val="0091331D"/>
    <w:rsid w:val="009202FE"/>
    <w:rsid w:val="00920F39"/>
    <w:rsid w:val="00931F2B"/>
    <w:rsid w:val="00936BCF"/>
    <w:rsid w:val="009470C1"/>
    <w:rsid w:val="00966EAE"/>
    <w:rsid w:val="00983452"/>
    <w:rsid w:val="009870F8"/>
    <w:rsid w:val="00990F32"/>
    <w:rsid w:val="009B1D5A"/>
    <w:rsid w:val="009D019A"/>
    <w:rsid w:val="009F2CC3"/>
    <w:rsid w:val="009F7442"/>
    <w:rsid w:val="00A118CC"/>
    <w:rsid w:val="00A1487E"/>
    <w:rsid w:val="00A32885"/>
    <w:rsid w:val="00A40F8A"/>
    <w:rsid w:val="00A45649"/>
    <w:rsid w:val="00A506E3"/>
    <w:rsid w:val="00A516AB"/>
    <w:rsid w:val="00A54494"/>
    <w:rsid w:val="00A56ACC"/>
    <w:rsid w:val="00A61A39"/>
    <w:rsid w:val="00A669B2"/>
    <w:rsid w:val="00A74559"/>
    <w:rsid w:val="00A80DD1"/>
    <w:rsid w:val="00A97670"/>
    <w:rsid w:val="00AA6161"/>
    <w:rsid w:val="00AB0EE9"/>
    <w:rsid w:val="00AB62D9"/>
    <w:rsid w:val="00AC0BC8"/>
    <w:rsid w:val="00AE0255"/>
    <w:rsid w:val="00AF394D"/>
    <w:rsid w:val="00AF5470"/>
    <w:rsid w:val="00B13969"/>
    <w:rsid w:val="00B14D51"/>
    <w:rsid w:val="00B26E86"/>
    <w:rsid w:val="00B37DF1"/>
    <w:rsid w:val="00B833A0"/>
    <w:rsid w:val="00B85316"/>
    <w:rsid w:val="00BD3D4E"/>
    <w:rsid w:val="00BD6635"/>
    <w:rsid w:val="00BD6CD5"/>
    <w:rsid w:val="00BF2897"/>
    <w:rsid w:val="00BF6D0B"/>
    <w:rsid w:val="00BF6DED"/>
    <w:rsid w:val="00C15C99"/>
    <w:rsid w:val="00C16B38"/>
    <w:rsid w:val="00C27506"/>
    <w:rsid w:val="00C3245A"/>
    <w:rsid w:val="00C477CA"/>
    <w:rsid w:val="00C673BA"/>
    <w:rsid w:val="00CA45A4"/>
    <w:rsid w:val="00CB223D"/>
    <w:rsid w:val="00CC4E22"/>
    <w:rsid w:val="00CD0D24"/>
    <w:rsid w:val="00CD595B"/>
    <w:rsid w:val="00CD7676"/>
    <w:rsid w:val="00CE679B"/>
    <w:rsid w:val="00D00F14"/>
    <w:rsid w:val="00D03378"/>
    <w:rsid w:val="00D1766E"/>
    <w:rsid w:val="00D30986"/>
    <w:rsid w:val="00D30B41"/>
    <w:rsid w:val="00D46FB6"/>
    <w:rsid w:val="00D47067"/>
    <w:rsid w:val="00D568A9"/>
    <w:rsid w:val="00D842F4"/>
    <w:rsid w:val="00DA01CE"/>
    <w:rsid w:val="00DA282F"/>
    <w:rsid w:val="00DC71A0"/>
    <w:rsid w:val="00DE7143"/>
    <w:rsid w:val="00E04B4F"/>
    <w:rsid w:val="00E15325"/>
    <w:rsid w:val="00E168F4"/>
    <w:rsid w:val="00E253D5"/>
    <w:rsid w:val="00E50DA2"/>
    <w:rsid w:val="00E5258C"/>
    <w:rsid w:val="00E81764"/>
    <w:rsid w:val="00E83FED"/>
    <w:rsid w:val="00E84A44"/>
    <w:rsid w:val="00E8711A"/>
    <w:rsid w:val="00E90A98"/>
    <w:rsid w:val="00E96BEA"/>
    <w:rsid w:val="00EA04D6"/>
    <w:rsid w:val="00EA3364"/>
    <w:rsid w:val="00EA3D44"/>
    <w:rsid w:val="00EA55B7"/>
    <w:rsid w:val="00EB75A0"/>
    <w:rsid w:val="00EB7E5B"/>
    <w:rsid w:val="00EC036B"/>
    <w:rsid w:val="00EC556B"/>
    <w:rsid w:val="00ED1DED"/>
    <w:rsid w:val="00ED3BAF"/>
    <w:rsid w:val="00ED620C"/>
    <w:rsid w:val="00EE54DE"/>
    <w:rsid w:val="00EE63A2"/>
    <w:rsid w:val="00EF0E06"/>
    <w:rsid w:val="00EF696E"/>
    <w:rsid w:val="00F0247F"/>
    <w:rsid w:val="00F11FBA"/>
    <w:rsid w:val="00F14C25"/>
    <w:rsid w:val="00F1634C"/>
    <w:rsid w:val="00F27CB4"/>
    <w:rsid w:val="00F46A37"/>
    <w:rsid w:val="00F51A06"/>
    <w:rsid w:val="00F57F5A"/>
    <w:rsid w:val="00F72684"/>
    <w:rsid w:val="00F754D3"/>
    <w:rsid w:val="00F756A6"/>
    <w:rsid w:val="00F763B4"/>
    <w:rsid w:val="00F828E5"/>
    <w:rsid w:val="00F9312B"/>
    <w:rsid w:val="00FB4960"/>
    <w:rsid w:val="00FF21B2"/>
    <w:rsid w:val="00FF7404"/>
    <w:rsid w:val="00FF7734"/>
    <w:rsid w:val="00FF7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521A54"/>
  <w15:docId w15:val="{AEA5C82D-0A35-4A5F-BF7C-CB10BA4A6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-CO" w:eastAsia="es-CO" w:bidi="ar-SA"/>
      </w:rPr>
    </w:rPrDefault>
    <w:pPrDefault>
      <w:pPr>
        <w:spacing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33A0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</w:rPr>
  </w:style>
  <w:style w:type="character" w:styleId="Hipervnculo">
    <w:name w:val="Hyperlink"/>
    <w:basedOn w:val="Fuentedeprrafopredeter"/>
    <w:uiPriority w:val="99"/>
    <w:unhideWhenUsed/>
    <w:rsid w:val="00A516AB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516AB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8F149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F1493"/>
  </w:style>
  <w:style w:type="paragraph" w:styleId="Piedepgina">
    <w:name w:val="footer"/>
    <w:basedOn w:val="Normal"/>
    <w:link w:val="PiedepginaCar"/>
    <w:uiPriority w:val="99"/>
    <w:unhideWhenUsed/>
    <w:rsid w:val="008505FC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505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4" Type="http://schemas.openxmlformats.org/officeDocument/2006/relationships/settings" Target="settings.xml"/><Relationship Id="rId14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Microsoft Office Word</Application>
  <DocSecurity>0</DocSecurity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Ficha de cierre 1914000078 — no radicar</dc:title>
  <dc:subject>Estado=NO RADICAR</dc:subject>
  <dc:creator>Equipo jurídico — control interno</dc:creator>
  <cp:lastModifiedBy>Equipo jurídico — control interno</cp:lastModifiedBy>
  <cp:revision>1</cp:revision>
  <dcterms:created xsi:type="dcterms:W3CDTF">2026-07-21T00:00:00Z</dcterms:created>
  <dcterms:modified xsi:type="dcterms:W3CDTF">2026-07-21T00:00:00Z</dcterms:modified>
</cp:coreProperties>
</file>