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17/26 — PAGARÉ No. 1915000921 — OBLIGACIÓN No. 10-1915000921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01_DEMANDA_1915000921_PARA_COMPLETAR_NO_RADICAR.docx — SHA-256 7fedb9d666092b2e…. Cautelar vinculada: 02_CAUTELAR_1915000921_PARA_COMPLETAR_NO_RADICAR.docx — SHA-256 44bef872c5dbc8a4….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MARÍA FERNANDA RODRÍGUEZ PINZÓN — C.C. 1.019.091.195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EMPRESARIAL». Primer cargo/apertura registrado: 12 de septiembre de 2022 por SIETE MILLONES DE PESOS M/CTE ($7.000.000).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12 de septiembre de 2022 [TRAZO TENUE — CONFRONTAR ORIGINAL]; 36 cuotas mensuales; capital facial: $7.000.000; interés facial: $1.260.935; tasa facial 26,82 % [COMPLETAR — MODALIDAD FACIAL; NO PRESUMIR E.A. O N.A.M.V.]; vencimiento facial: 5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($1.260.935) coincide exactamente con el saldo histórico de interés del extracto ($1.260.935).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CINCO MILLONES VEINTITRÉS MIL QUINIENTOS OCHENTA Y SIETE PESOS M/CTE ($5.023.587); interés de plazo UN MILLÓN DOSCIENTOS SESENTA MIL NOVECIENTOS TREINTA Y CINCO PESOS M/CTE ($1.260.935); mora UN MILLÓN NOVECIENTOS OCHENTA Y CUATRO MIL OCHOCIENTOS OCHENTA Y UN PESOS M/CTE ($1.984.881); total OCHO MILLONES DOSCIENTOS SESENTA Y NUEVE MIL CUATROCIENTOS TRES PESOS M/CTE ($8.269.403).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es el 5 de julio de 2026, un día antes del corte del extracto. Existe un movimiento «CO» de 31 de agosto de 2023 denominado generación de compromisos; obtener su soporte y efecto antes de fijar exigibilidad y saldo.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1915000921.pdf,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1915000921.pdf,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1019091195.PDF,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1019091195 PAGARE 1915000921.pdf, 8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MARÍA FERNANDA RODRÍGUEZ PINZÓN: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1915000921.pdf — 4 páginas — SHA-256 c8e6e4c5a5e91fc7…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1019091195.PDF — 3 páginas — SHA-256 dc28512a4c260da5…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1019091195 PAGARE 1915000921.pdf — 8 páginas — SHA-256 62bba49fef6b97e3…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$5.023.587 + interés de plazo $1.260.935 + mora $1.984.881 = $8.269.403.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1915000921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