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20/26 — PAGARÉ No. 2016000402 — OBLIGACIÓN No. 10-2016000402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01_DEMANDA_2016000402_PARA_COMPLETAR_NO_RADICAR.docx — SHA-256 8900c26e2cc6dfbd…. Cautelar vinculada: 02_CAUTELAR_2016000402_PARA_COMPLETAR_NO_RADICAR.docx — SHA-256 e9241e4a71da3fa7….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BERONICA ANDREA GONZALEZ CORDOBA — C.C. 1.121.937.363 — primer firmante de control; calidad individual pendiente de cierre | MILEYNA SERRANO AGUIRRE — C.C. 1.022.408.499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«PRÉSTAMO DE CONSUMO ORDINARIO». Primer cargo/apertura registrado: 20 de abril de 2023 por OCHO MILLONES SEISCIENTOS MIL PESOS M/CTE ($8.600.000).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20 de abril de 2023; 36 cuotas mensuales; capital facial: $8.600.000; interés facial: $2.344.098; tasa facial 26,82417946 %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($2.344.098) coincide exactamente con el saldo histórico de interés del extracto ($2.344.098).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SIETE MILLONES QUINIENTOS VEINTISIETE MIL TRESCIENTOS TREINTA Y NUEVE PESOS M/CTE ($7.527.339); interés de plazo DOS MILLONES TRESCIENTOS CUARENTA Y CUATRO MIL NOVENTA Y OCHO PESOS M/CTE ($2.344.098); mora DOS MILLONES CIENTO CINCUENTA Y CUATRO MIL QUINIENTOS NOVENTA Y OCHO PESOS M/CTE ($2.154.598); total DOCE MILLONES VEINTISÉIS MIL TREINTA Y CINCO PESOS M/CTE ($12.026.035).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interés facial coincide con el saldo histórico del extracto; demostrar fecha y fuente de diligenciamiento, aplicación de pagos y fecha única de exigibilidad para ambas firmantes.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No se identificó un activo actual mediante fuente oficial; la cautela debe permanecer sin activar hasta individualizarlo.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2016000402.pdf, pp. 1–2 y revisión integral de 4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2016000402.pdf,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1121937363.PDF,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1121937363 PAGARE 2016000402.pdf, 15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no verificada.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BERONICA ANDREA GONZALEZ CORDOBA; MILEYNA SERRANO AGUIRRE: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2016000402.pdf — 4 páginas — SHA-256 ab3a2f92e7150063…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1121937363.PDF — 2 páginas — SHA-256 94d7a32523d0ce9f…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1121937363 PAGARE 2016000402.pdf — 15 páginas — SHA-256 374701842b414d3e…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$7.527.339 + interés de plazo $2.344.098 + mora $2.154.598 = $12.026.035.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2016000402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