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23/26 — PAGARÉ No. 2211000308 — OBLIGACIÓN No. 10-2211000308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01_DEMANDA_2211000308_PARA_COMPLETAR_NO_RADICAR.docx — SHA-256 e79a6722c88c5fd7…. Cautelar vinculada: 02_CAUTELAR_2211000308_PARA_COMPLETAR_NO_RADICAR.docx — SHA-256 9a71a3a3d615bca3….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ORLANDO PEREZ BAEZ — C.C. 4.252.020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URBANO». Primer cargo/apertura registrado: 5 de diciembre de 2023 por DIEZ MILLONES DE PESOS M/CTE ($10.000.000).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5 de diciembre de 2023; 18 cuotas mensuales; capital facial: $10.000.000; interés facial: $1.645.434; tasa facial 23,14393449 %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($1.645.434) coincide exactamente con el saldo histórico de interés del extracto ($1.645.434).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DIEZ MILLONES DE PESOS M/CTE ($10.000.000); interés de plazo UN MILLÓN SEISCIENTOS CUARENTA Y CINCO MIL CUATROCIENTOS TREINTA Y CUATRO PESOS M/CTE ($1.645.434); mora CUATRO MILLONES CIENTO TREINTA Y OCHO MIL CIENTO DIECISÉIS PESOS M/CTE ($4.138.116); total QUINCE MILLONES SETECIENTOS OCHENTA Y TRES MIL QUINIENTOS CINCUENTA PESOS M/CTE ($15.783.550).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mora histórica supera el 40 % del capital. Exigir memoria por día y periodo, pagos, tasa máxima, fecha única de exigibilidad y trazabilidad del llenado antes de pedir mandamiento.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2211000308.pdf,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2211000308.pdf,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4252020.PDF,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4252020 PAGARE 2211000308.pdf, 6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Suesca (agencia facial; no acredita fuero territorial).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ORLANDO PEREZ BAEZ: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2211000308.pdf — 4 páginas — SHA-256 783282067f77e3f8…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4252020.PDF — 2 páginas — SHA-256 baa33294858cfbda…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4252020 PAGARE 2211000308.pdf — 6 páginas — SHA-256 4d2fd56732420542…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$10.000.000 + interés de plazo $1.645.434 + mora $4.138.116 = $15.783.550.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2211000308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