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24/26 — PAGARÉ No. 2315000024 — OBLIGACIÓN No. 10-2315000024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01_DEMANDA_2315000024_PARA_COMPLETAR_NO_RADICAR.docx — SHA-256 4ec2a7434c64f87e…. Cautelar vinculada: 02_CAUTELAR_2315000024_PARA_COMPLETAR_NO_RADICAR.docx — SHA-256 1528e97f7fcd0d73….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DANIEL RICARDO CALDERÓN CORREA — C.C. 1.000.601.898 — primer firmante de control; calidad individual pendiente de cierre | DIANA LORENA TORRES TORRES — C.C. 52.778.684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POPULAR URBANO». Primer cargo/apertura registrado: 17 de mayo de 2023 por SEIS MILLONES DE PESOS M/CTE ($6.000.000).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17 de mayo de 2023; 24 cuotas mensuales; capital facial: $4.717.256; interés facial: $1.490.169; tasa facial 46,78467782 %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($1.490.169) coincide exactamente con el saldo histórico de interés del extracto ($1.490.169).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CUATRO MILLONES SETECIENTOS DIECISIETE MIL DOSCIENTOS CINCUENTA Y SEIS PESOS M/CTE ($4.717.256); interés de plazo UN MILLÓN CUATROCIENTOS NOVENTA MIL CIENTO SESENTA Y NUEVE PESOS M/CTE ($1.490.169); mora UN MILLÓN NOVECIENTOS CINCUENTA Y OCHO MIL OCHENTA Y NUEVE PESOS M/CTE ($1.958.089); total OCHO MILLONES CIENTO SESENTA Y CINCO MIL QUINIENTOS CATORCE PESOS M/CTE ($8.165.514).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capital facial coincide con el saldo histórico, no con el cargo inicial de $6.000.000, y la tasa exige control por cada periodo. Probar desembolso, llenado, pagos, exigibilidad y coordinar con el pagaré 2315000116, donde se repiten firmantes.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La solicitud histórica refiere actividad en OPTIMUS TENIS y a la firmante adicional señalada históricamente como codeudora —calidad por verificar— como propietaria de locales; actualizar vínculo, pagador, titularidad y activos antes de pedir medida.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2315000024.pdf,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2315000024.pdf,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1000601898.PDF,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1000601898 PAGARE 2315000024.pdf, 11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DANIEL RICARDO CALDERÓN CORREA; DIANA LORENA TORRES TORRES: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2315000024.pdf — 3 páginas — SHA-256 8fb0aa275d2e2a90…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1000601898.PDF — 2 páginas — SHA-256 63d6fdb8e7a91719…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1000601898 PAGARE 2315000024.pdf — 11 páginas — SHA-256 04ed4f81d7c572e6…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$4.717.256 + interés de plazo $1.490.169 + mora $1.958.089 = $8.165.514.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2315000024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