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26/26 — PAGARÉ No. 2315000116 — OBLIGACIÓN No. 10-2315000116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01_DEMANDA_2315000116_PARA_COMPLETAR_NO_RADICAR.docx — SHA-256 e0841efc7291c9bc…. Cautelar vinculada: 02_CAUTELAR_2315000116_PARA_COMPLETAR_NO_RADICAR.docx — SHA-256 0efd3c011e614ea8….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DIANA LORENA TORRES TORRES — C.C. 52.778.684 — primer firmante de control; calidad individual pendiente de cierre | HOLMES SÁNCHEZ QUIROGA — C.C. 79.977.583 — firmante adicional; calidad individual pendiente de cierre | DANIEL RICARDO CALDERÓN CORREA — C.C. 1.000.601.898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URBANO». Primer cargo/apertura registrado: 23 de octubre de 2023 por DIEZ MILLONES DE PESOS M/CTE ($10.000.000).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23 de octubre de 2023; 48 cuotas mensuales; capital facial: $6.022.667; interés facial: $7.934.754; tasa facial 46,78 %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($7.934.754) coincide exactamente con el saldo histórico de interés del extracto ($7.934.754).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SEIS MILLONES VEINTIDÓS MIL SEISCIENTOS SESENTA Y SIETE PESOS M/CTE ($6.022.667); interés de plazo SIETE MILLONES NOVECIENTOS TREINTA Y CUATRO MIL SETECIENTOS CINCUENTA Y CUATRO PESOS M/CTE ($7.934.754); mora DOSCIENTOS OCHENTA Y SIETE MIL CUARENTA PESOS M/CTE ($287.040); total CATORCE MILLONES DOSCIENTOS CUARENTA Y CUATRO MIL CUATROCIENTOS SESENTA Y UN PESOS M/CTE ($14.244.461).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capital facial coincide con el saldo histórico y no con el cargo inicial de $10.000.000; el interés facial de $7.934.754 y la mora no quedaron reproducidos. Existen dos compromisos internos de 2026 por $4.458.601 sin soporte fuente. No pedir esos rubros ni cautelas sobre CJA93F/Bancolombia hasta cerrar memoria, pagos, llenado y titularidad; coordinar con 2315000024.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Motocicleta/vehículo de placa CJA93F y producto Bancolombia aparecen solo en soportes históricos. Actualizar propiedad, organismo, gravámenes, cuenta/producto exacto, titularidad y fecha de la fuente.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2315000116.pdf,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2315000116.pdf,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52778684.PDF,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52778684 PAGARE 2315000116.pdf, 26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no verificada.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DIANA LORENA TORRES TORRES; HOLMES SÁNCHEZ QUIROGA; DANIEL RICARDO CALDERÓN CORREA: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2315000116.pdf — 3 páginas — SHA-256 30d361bae3715872…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52778684.PDF — 2 páginas — SHA-256 cdb2f7e76bdf4305…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52778684 PAGARE 2315000116.pdf — 26 páginas — SHA-256 2c74538fa2138436…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$6.022.667 + interés de plazo $7.934.754 + mora $287.040 = $14.244.461.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2315000116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