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1F4E78"/>
          <w:b w:val="1"/>
          <w:bCs w:val="1"/>
          <w:sz w:val="32"/>
          <w:szCs w:val="32"/>
        </w:rPr>
        <w:t xml:space="preserve">GUÍA DE USO — 26 DEMANDAS Y 26 CAUTELARES PARA COMPLETAR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6"/>
          <w:szCs w:val="26"/>
        </w:rPr>
        <w:t xml:space="preserve">Estado jurídico del paquete: DOCUMENTOS DE TRABAJO — NO RADICAR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usuaria autorizó dejar espacios identificados para que varios abogados completen la información faltante. Por eso este paquete no constituye una entrega final ni apta para firma. Conserva el membrete y la geometría de MODELO.docx y MODELO MEDIDAS.docx; las plantillas canónicas v2.0 exigidas por el protocolo no fueron localizadas.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1. CONTENIDO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 generaron 52 Word: una demanda y una solicitud cautelar por cada uno de los 26 pagarés correctos. Cada carpeta identifica el pagaré y el primer firmante de control asociado al extracto, sin cerrar por ello su calidad jurídica individual. La matriz CSV contiene cifras, fuentes y conteo de marcadores.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Regla de selección aplicada: se tomó exclusivamente el PDF cuyo nombre inicia exactamente con «PAGARÉ » seguido del número. El PDF homónimo que solo lleva el número o no inicia con «PAGARÉ» quedó excluido de la lectura facial.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2. SIGNIFICADO DE LOS MARCADORES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[COMPLETAR — ...]: dato o soporte que no puede afirmarse con las fuentes actuales. Debe sustituirse por información evidenciada, nunca por inferencia.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[DECISIÓN DEL ABOGADO — ...] / [CONSERVAR SOLO CON ...] / [ELIMINAR SI ...]: rutas o módulos alternativos. El abogado debe dejar una sola opción respaldada y borrar por completo las demás.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Texto rojo: bloqueo de cierre. Texto ámbar: pista histórica que requiere actualización; no prueba el hecho actual.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 REGLA DE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Ningún archivo puede perder la marca NO RADICAR hasta: (i) cero corchetes; (ii) poder y correo RNA; (iii) original, custodia y llenado; (iv) contrato y arbitraje; (v) una sola exigibilidad; (vi) saldo y pagos del día; (vii) prescripción; (viii) insolvencia/sucesión/procesos; (ix) competencia y canales; (x) cautela individualizada; y (xi) revisión y firma humana.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4. CIFRAS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Todas las cifras incorporadas provienen del resumen de extractos con corte al 6 de julio de 2026. Son históricas y provisionales. Los rubros de interés y mora no se vuelven reproducibles por aparecer en el resumen; necesitan memoria de cálculo, movimientos y control de tasa. Deben confirmarse pagos justo antes de presentar.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5. MEDIDAS CAUTELARES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Cada cautelar contiene seis módulos posibles. No deben presentarse juntos por defecto. Conservar solo empleador/pagador, banco/producto, matrícula, vehículo, crédito o remanente que esté identificado mediante fuente actual; borrar el resto. Se prohíbe convertirlos en solicitudes contra todos los bancos, fondos, inmuebles o vehículos.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6. FUENTES RECTORAS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Protocolo local: 00_LEER_PRIMERO_PROTOCOLO_CIVILISTA_CREARCOOP_2026.txt. Fuentes oficiales: Secretaría del Senado — Código General del Proceso y Código de Comercio; Ley 2213 de 2022; Ley 2445 de 2025; Ley 2540 de 2025; Superintendencia Financiera para tasas por periodo; y registros oficiales aplicables a cada activo.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7. CONTROL AUTOMÁTICO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manifiesto SHA-256 permite verificar que los archivos no cambiaron desde la generación. La matriz lista el número de marcadores por documento. Una cifra de marcadores igual a cero no reemplaza la revisión jurídica ni autoriza por sí sola la radicación.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8. HALLAZGOS TRANSVERSALES DE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numerosos casos el capital facial reproduce el capital inicial o el saldo del extracto, y el interés facial coincide con el saldo de interés al corte. También hay vencimientos faciales que no coinciden con el final del plan, movimientos «CO» sin acuerdo fuente y reconstrucciones de interés/mora que no cuadran con el resumen. Estas coincidencias o brechas no prueban por sí solas el llenado, la exigibilidad ni el saldo; la alerta específica de cada demanda debe resolverse con memoria y soporte.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Los domicilios, empleadores, pagadores, establecimientos, cuentas, vehículos e inmuebles encontrados son pistas históricas. Ninguno debe tratarse como vigente sin consulta oficial actual. Los expedientes con obligados repetidos deben coordinarse para evitar pretensiones, pagos o cautelas duplicadas.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paquete 26 casos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