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1912000833 — OBLIGACIÓN No. 10-1912000833.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ÁNGELA YISELA RESTREPO VARÓN, C.C. No. 1.033.789.770, firmante [COMPLETAR — CALIDAD INDIVIDUAL ACREDITADA Y ALCANCE DE LA OBLIGACIÓN]; y JOSÉ EFRAÍN HINCAPIÉ VILLA, C.C. No. 1.061.655.910,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1912000833,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$3.882.652, intereses de plazo de $852.162 y mora de $1.421.444, para un total de $6.156.258. Como controles de trabajo —sin costas estimadas—, el doble equivale a $12.312.516 para revisar el límite general del artículo 599 del CGP, mientras el 150 % equivale a $9.234.387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Vehículo Nissan placa FLJ238 declarado históricamente por el codeudor, sin certificado actual; exigir RUNT/tránsito, titularidad, identificación técnica, servicio, gravámenes y avalúo. La vivienda atribuida a Ángela carece de matrícula.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1912000833.pdf»; «EXTRACTO 1033789770.PDF»; «CC 1033789770 PAGARE 1912000833.pdf».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$12.312.516 para el techo general de revisión y $9.234.387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1912000833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