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1912000875 — OBLIGACIÓN No. 10-1912000875.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BLANCA CECILIA BARRERA MARTÍNEZ, C.C. No. 51.797.042, firmante [COMPLETAR — CALIDAD INDIVIDUAL ACREDITADA Y ALCANCE DE LA OBLIGACIÓN]; y ANA JUDIT CAÑAS CORREA, C.C. No. 1.032.433.279,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1912000875,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$1.742.489, intereses de plazo de $4.569.637 y mora de $255.538, para un total de $6.567.664. Como controles de trabajo —sin costas estimadas—, el doble equivale a $13.135.328 para revisar el límite general del artículo 599 del CGP, mientras el 150 % equivale a $9.851.496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Los documentos históricos no individualizan bienes registrables de las obligadas. No formular cautela patrimonial sin una fuente oficial actual.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1912000875.pdf»; «EXTRACTO 51797042.PDF»; «CC 51797042 PAGARE 1912000875.pdf».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$13.135.328 para el techo general de revisión y $9.851.496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1912000875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