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1912000942 — OBLIGACIÓN No. 10-1912000942.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FERNANDO MAURICIO MACHETE RODRÍGUEZ, C.C. No. 1.024.492.842, firmante [COMPLETAR — CALIDAD INDIVIDUAL ACREDITADA Y ALCANCE DE LA OBLIGACIÓN]; y DEICY VIVIANA CABEZAS PAREDES, C.C. No. 1.024.522.232,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1912000942,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$4.696.029, intereses de plazo de $1.349.505 y mora de $1.987.442, para un total de $8.032.976. Como controles de trabajo —sin costas estimadas—, el doble equivale a $16.065.952 para revisar el límite general del artículo 599 del CGP, mientras el 150 % equivale a $12.049.464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Vehículo SsangYong, modelo 2015, placa leída provisionalmente como ZZP022, autodeclarado por Fernando Mauricio Machete Rodríguez con prenda histórica; verificar placa, RUNT/tránsito, titularidad, identificación, gravámenes y avalúo actuales.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1912000942.pdf»; «EXTRACTO 1024492842.PDF»; «CC 1024492842 PAGARE 1912000942.pdf».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$16.065.952 para el techo general de revisión y $12.049.464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1912000942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