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1913000633 — OBLIGACIÓN No. 10-1913000633.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GENARO ALONSO RODRÍGUEZ RODRÍGUEZ, C.C. No. 3.187.760, firmante [COMPLETAR — CALIDAD INDIVIDUAL ACREDITADA Y ALCANCE DE LA OBLIGACIÓN]; y JULIET JISELL RODRÍGUEZ ACERO, C.C. No. 1.078.347.591, firmante [COMPLETAR — CALIDAD INDIVIDUAL ACREDITADA Y ALCANCE DE LA OBLIGACIÓN]; y JEIMY ANDREA RODRÍGUEZ ACERO, C.C. No. 1.078.347.854,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1913000633,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$12.616.467, intereses de plazo de $4.143.619 y mora de $194.178, para un total de $16.954.264. Como controles de trabajo —sin costas estimadas—, el doble equivale a $33.908.528 para revisar el límite general del artículo 599 del CGP, mientras el 150 % equivale a $25.431.396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Pistas históricas: inmueble rural sin folio y Nissan D21 modelo 1998 placa CCG386 atribuidos a Genaro; antigua cuenta Bancolombia terminada en 9588 y contratos públicos ya finalizados de Jeimy. Ninguna pista prueba un activo actual: exigir ORIP/RUNT/entidad/contrato vigente.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1913000633.pdf»; «EXTRACTO 3187760.PDF»; «CC 3187760 PAGARE 1913000633.pdf».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$33.908.528 para el techo general de revisión y $25.431.396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1913000633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