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1913000784 — OBLIGACIÓN No. 10-1913000784.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VÍCTOR GARZÓN FORERO, C.C. No. 1.071.329.791, firmante [COMPLETAR — CALIDAD INDIVIDUAL ACREDITADA Y ALCANCE DE LA OBLIGACIÓN]; y ALBA MERCEDES CALDERÓN, C.C. No. 20.744.270,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1913000784,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$2.829.624, intereses de plazo de $343.296 y mora de $628.675, para un total de $3.801.595. Como controles de trabajo —sin costas estimadas—, el doble equivale a $7.603.190 para revisar el límite general del artículo 599 del CGP, mientras el 150 % equivale a $5.702.393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Pistas históricas: establecimiento/taller A y D, matrícula 03227807, y cafetería de la codeudora; hay valores patrimoniales contradictorios. Obtener RUES, titularidad y derechos actuales antes de solicitar embargo de establecimiento, crédito o remanente.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1913000784.pdf»; «EXTRACTO 1071329791.PDF»; «CC 1071329791 PAGARE 1913000784.pdf».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$7.603.190 para el techo general de revisión y $5.702.393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1913000784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