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16933" w14:textId="213DC89C" w:rsidR="00430224" w:rsidRPr="008C2ACB" w:rsidRDefault="00430224" w:rsidP="00430224">
      <w:pPr>
        <w:widowControl w:val="0"/>
        <w:spacing w:before="240" w:after="240" w:line="276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8"/>
          <w:szCs w:val="28"/>
          <w:color w:val="C00000"/>
          <w:b w:val="1"/>
        </w:rPr>
        <w:t xml:space="preserve">PARA COMPLETAR Y REVISAR — NO RADICAR, NO FIRMAR Y NO OFICIAR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4"/>
          <w:szCs w:val="24"/>
          <w:color w:val="C00000"/>
          <w:b w:val="1"/>
        </w:rPr>
        <w:t xml:space="preserve">Este escrito contiene módulos alternativos. El abogado debe conservar únicamente la medida sustentada por prueba actual, eliminar todas las demás y reemplazar cada marcador entre corchetes.</w:t>
      </w:r>
    </w:p>
    <w:p w14:paraId="6615815D" w14:textId="77777777" w:rsidR="00B34908" w:rsidRDefault="00B34908" w:rsidP="00B34908">
      <w:pPr>
        <w:pStyle w:val="Sinespaciado"/>
        <w:jc w:val="right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CIUDAD], [COMPLETAR — FECHA REAL DE PRESENTACIÓN]</w:t>
      </w:r>
    </w:p>
    <w:p w14:paraId="1221D13D" w14:textId="42C47453" w:rsidR="00315C25" w:rsidRPr="00315C25" w:rsidRDefault="00000000" w:rsidP="00315C25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 w:val="1"/>
          <w:bCs w:val="1"/>
          <w:sz w:val="24"/>
          <w:szCs w:val="24"/>
          <w:color w:val="C00000"/>
        </w:rPr>
        <w:t xml:space="preserve">SEÑOR JUEZ CIVIL COMPETENTE DE [COMPLETAR — CIUDAD Y DESPACHO] (REPARTO)</w:t>
      </w:r>
    </w:p>
    <w:p w14:paraId="0F02F8CF" w14:textId="088930CD" w:rsidR="00B80655" w:rsidRDefault="00000000" w:rsidP="00315C25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E. S. D.</w:t>
      </w:r>
    </w:p>
    <w:p w14:paraId="6F516933" w14:textId="213DC89C" w:rsidR="00430224" w:rsidRPr="008C2ACB" w:rsidRDefault="00430224" w:rsidP="00430224">
      <w:pPr>
        <w:widowControl w:val="0"/>
        <w:spacing w:before="240" w:after="240" w:line="276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REFERENCIA: SOLICITUD DE MEDIDA CAUTELAR PREVIA — PAGARÉ No. 1913000904 — OBLIGACIÓN No. 10-1913000904.</w:t>
      </w:r>
    </w:p>
    <w:p w14:paraId="316CCFB8" w14:textId="77777777" w:rsidR="00430224" w:rsidRPr="00430224" w:rsidRDefault="00000000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DEMANDANTE: COOPERATIVA DE AHORRO Y CRÉDITO CREAR LTDA. — CREARCOOP, NIT 890.981.459-4. [CONFRONTAR RAZÓN SOCIAL CON CERTIFICADO VIGENTE].</w:t>
      </w:r>
    </w:p>
    <w:p w14:paraId="14A10AD0" w14:textId="77777777" w:rsidR="00023711" w:rsidRPr="00B34908" w:rsidRDefault="00000000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color w:val="C00000"/>
          <w:sz w:val="24"/>
          <w:szCs w:val="24"/>
        </w:rPr>
        <w:t xml:space="preserve">DEMANDADOS: ÁNGEL GABRIEL BENAVIDES RODRÍGUEZ, C.C. No. 11.325.586, firmante [COMPLETAR — CALIDAD INDIVIDUAL ACREDITADA Y ALCANCE DE LA OBLIGACIÓN]; y OCTAVIO BENAVIDES CÁRDENAS, C.C. No. 3.086.189, firmante [COMPLETAR — CALIDAD INDIVIDUAL ACREDITADA Y ALCANCE DE LA OBLIGACIÓN].</w:t>
      </w:r>
    </w:p>
    <w:p w14:paraId="57DF36AE" w14:textId="5CA8234D" w:rsidR="00430224" w:rsidRPr="00B34908" w:rsidRDefault="004771BA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C00000"/>
          <w:sz w:val="24"/>
          <w:szCs w:val="24"/>
          <w:b w:val="1"/>
          <w:bCs w:val="1"/>
        </w:rPr>
        <w:t xml:space="preserve">APODERADA: [COMPLETAR — NOMBRE, C.C., T.P., CORREO RNA Y CADENA DE PERSONERÍA VÁLIDA].</w:t>
      </w:r>
    </w:p>
    <w:p w14:paraId="43D205AE" w14:textId="64526759" w:rsidR="00430224" w:rsidRDefault="008C2ACB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[DECISIÓN DEL ABOGADO — CONSERVAR UNA SOLA RUTA ACREDITADA: (A) poder directo de CREARCOOP a la abogada; o (B) poder de CREARCOOP a ABOGADOS EN COLOMBIA S.A.S. y representación, sustitución o designación válida de la abogada].</w:t>
      </w:r>
    </w:p>
    <w:p w14:paraId="43D205AE" w14:textId="64526759" w:rsidR="00430224" w:rsidRDefault="008C2ACB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APODERADA Y RUTA DE PERSONERÍA], actuando por COOPERATIVA DE AHORRO Y CRÉDITO CREAR LTDA. — CREARCOOP, dentro del proceso ejecutivo fundado en el pagaré No. 1913000904, solicita únicamente la medida o medidas que permanezcan después de la depuración de este escrito.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I. BASE PROVISIONAL Y PROPORCIONALIDAD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El extracto histórico al 6 de julio de 2026 informa capital de $4.144.299, intereses de plazo de $2.298.711 y mora de $1.076.631, para un total de $7.519.641. Como controles de trabajo —sin costas estimadas—, el doble equivale a $15.039.282 para revisar el límite general del artículo 599 del CGP, mientras el 150 % equivale a $11.279.462 —calculado con Decimal y redondeado al peso superior cuando arroja fracción— como referencia incompleta para el límite especial de depósitos del artículo 593.10. Deben actualizarse crédito, intereses, costas, valor del bien y límite aplicable; ninguna referencia se solicita automáticamente.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BF9000"/>
        </w:rPr>
        <w:t xml:space="preserve">Pista documental: No se encontró en la auditoría una fuente actual de activo individualizado. [COMPLETAR — IDENTIFICAR ACTIVO ACTUAL Y APORTAR FUENTE].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BF9000"/>
        </w:rPr>
        <w:t xml:space="preserve">Trazabilidad interna: «PAGARÉ 1913000904.pdf»; «EXTRACTO 11325586.PDF»; «CC 11325586 PAGARE 1913000904.pdf». [INDIZAR PÁGINA EXACTA, FECHA Y VIGENCIA DEL ACTIVO; ELIMINAR ESTA NOTA EN LA COPIA PARA FIRMA].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EXPLICAR necesidad, idoneidad, proporcionalidad, titular demandado, fuente actual, gravámenes, embargos preferentes, inembargabilidad y límite solicitado].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II. MÓDULOS DE MEDIDA — CONSERVAR SOLO LOS SOPORTADOS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A — SALARIO U HONORARIOS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PRUEBA ACTUAL] Decretar, según la naturaleza acreditada del ingreso, el embargo y retención de la porción legalmente embargable de los salarios o emolumentos que [DEMANDADO Y C.C.] percibe de [EMPLEADOR/PAGADOR EXACTO, NIT, DIRECCIÓN Y CORREO OFICIAL], conforme a [CERTIFICADO O FUENTE DE FECHA]. Si se trata de honorarios, justificar su régimen y no aplicar automáticamente el porcentaje salarial. Indicar porcentaje o suma concreta, mínimo vital, preferencias y límite global.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B — MESADA PENSIONAL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PRUEBA ACTUAL] Decretar el embargo dentro del límite legal de la mesada neta de [DEMANDADO Y C.C.], pagada por [ENTIDAD EXACTA Y CANAL], acreditada mediante [DOCUMENTO, FECHA, VALOR NETO Y DEDUCCIONES]. Motivar porcentaje concreto, mínimo vital y preferencias. No oficiar indiscriminadamente a todos los fondos.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C — PRODUCTO FINANCIERO INDIVIDUALIZADO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FUENTE ACTUAL] Decretar el embargo y retención de los dineros de titularidad de [DEMANDADO Y C.C.] en [ENTIDAD EXACTA], producto [TIPO Y ÚLTIMOS CUATRO DÍGITOS], conocido por [FUENTE Y FECHA], hasta [LÍMITE NUMÉRICO]. Respetar la inembargabilidad aplicable y excluir depósitos de terceros. No sustituir por una lista general de bancos.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D — INMUEBLE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CERTIFICADO ACTUAL] Decretar el embargo del derecho de dominio de [DEMANDADO Y C.C.] sobre el inmueble matrícula [NÚMERO], ORIP [OFICINA], dirección [DIRECCIÓN], porcentaje [●], conforme al certificado de tradición de [FECHA/CÓDIGO]. Comunicar por el canal oficial de la ORIP; solicitar secuestro únicamente después de inscrito el embargo.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E — VEHÍCULO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RUNT/TRÁNSITO ACTUAL] Decretar el embargo del vehículo placa [PLACA], clase [●], marca [●], línea [●], modelo [●], VIN/chasis/motor [●], registrado a nombre de [DEMANDADO Y C.C.] en [ORGANISMO], según certificado de [FECHA/CÓDIGO]. Comunicar a la autoridad competente y solicitar secuestro/aprehensión solo después de inscrito el embargo y definida la ruta legal.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F — CRÉDITO, DERECHO ECONÓMICO O REMANENTE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INDIVIDUALIZACIÓN] Decretar el embargo del crédito o derecho que [TERCERO EXACTO, NIT Y CANAL] adeuda a [DEMANDADO Y C.C.] por [CONTRATO/FACTURA/CAUSA, FECHA, MONTO Y VENCIMIENTO], o del remanente dentro del proceso [JUZGADO, RADICADO, PARTES Y ESTADO], hasta [LÍMITE]. [ELIMINAR SI NO HAY SOPORTE].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III. SOLICITUDES FINALES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PRIMERA. Decretar exclusivamente la medida o medidas individualizadas que hayan quedado en la sección II después de eliminar los módulos no soportados.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SEGUNDA. Fijar como límite [COMPLETAR — LÍMITE ACTUAL MOTIVADO SEGÚN EL ACTIVO]. Controles internos históricos sin costas: $15.039.282 para el techo general de revisión y $11.279.462 para la referencia especial de depósitos; aplicar la regla pertinente y el valor probado del bien, sin convertir estos máximos en una solicitud automática.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TERCERA. Librar únicamente los oficios dirigidos a la entidad, autoridad o tercero plenamente identificado, por su canal oficial verificado.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CUARTA. Tramitar la solicitud por separado y, si se decreta, cumplir inmediatamente la medida antes de notificar a la parte contraria, conforme al artículo 298 del Código General del Proceso, sin pedir una reserva distinta de la prevista por la ley.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IV. FUNDAMENTOS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Artículos 298, 593, 594, 599, 600 y 601 del Código General del Proceso; Ley 2213 de 2022 y normas específicas del activo finalmente seleccionado. [AGREGAR SOLO LA NORMA ESPECIAL PERTINENTE Y VERIFICADA].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V. ANEXOS ESPECÍFICOS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1. Liquidación actual y cálculo del límite.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2. Certificado o fuente actual de titularidad e individualización del activo.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3. Avalúo, gravámenes, preferencias e inembargabilidad, cuando correspondan.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4. Poder y personería aportados con la demanda.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[ENUMERAR NOMBRES EXACTOS, FECHA Y PÁGINAS; ELIMINAR ANEXOS INEXISTENTES].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VI. CONTROL HUMANO OBLIGATORIO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Buscar y reemplazar todos los corchetes; conservar una sola opción por activo probado; actualizar titularidad, saldo, límite y canales el día de presentar; verificar medidas previas e insolvencia; eliminar toda búsqueda indiscriminada y revisar proporcionalidad como juez y contraparte.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Atentamente,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4"/>
          <w:szCs w:val="24"/>
          <w:color w:val="C00000"/>
          <w:b w:val="1"/>
        </w:rPr>
        <w:t xml:space="preserve">[COMPLETAR — NOMBRE DE LA ABOGADA CON PERSONERÍA]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C.C., T.P., CORREO RNA Y CALIDAD]</w:t>
      </w:r>
    </w:p>
    <w:sectPr w:rsidR="00B80655" w:rsidRPr="00CC2E1E">
      <w:headerReference w:type="even" r:id="rId8"/>
      <w:headerReference w:type="default" r:id="rId9"/>
      <w:footerReference w:type="default" r:id="rId10"/>
      <w:headerReference w:type="first" r:id="rId11"/>
      <w:pgSz w:w="12240" w:h="20160"/>
      <w:pgMar w:top="2127" w:right="1701" w:bottom="1417" w:left="1700" w:header="0" w:footer="163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CE278E" w14:textId="77777777" w:rsidR="007A2EED" w:rsidRDefault="007A2EED">
      <w:pPr>
        <w:spacing w:after="0" w:line="240" w:lineRule="auto"/>
      </w:pPr>
      <w:r>
        <w:separator/>
      </w:r>
    </w:p>
  </w:endnote>
  <w:endnote w:type="continuationSeparator" w:id="0">
    <w:p w14:paraId="7A4F5275" w14:textId="77777777" w:rsidR="007A2EED" w:rsidRDefault="007A2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5A40F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-1701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FF9B315" wp14:editId="295816A7">
          <wp:simplePos x="0" y="0"/>
          <wp:positionH relativeFrom="column">
            <wp:posOffset>-1070535</wp:posOffset>
          </wp:positionH>
          <wp:positionV relativeFrom="paragraph">
            <wp:posOffset>66675</wp:posOffset>
          </wp:positionV>
          <wp:extent cx="7753350" cy="1493520"/>
          <wp:effectExtent l="0" t="0" r="0" b="0"/>
          <wp:wrapNone/>
          <wp:docPr id="63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53350" cy="14935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453AC04" w14:textId="77777777" w:rsidR="00B80655" w:rsidRDefault="00B806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58FAE3C1" w14:textId="77777777" w:rsidR="00B80655" w:rsidRDefault="00B806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498F2B" w14:textId="77777777" w:rsidR="007A2EED" w:rsidRDefault="007A2EED">
      <w:pPr>
        <w:spacing w:after="0" w:line="240" w:lineRule="auto"/>
      </w:pPr>
      <w:r>
        <w:separator/>
      </w:r>
    </w:p>
  </w:footnote>
  <w:footnote w:type="continuationSeparator" w:id="0">
    <w:p w14:paraId="42207DF4" w14:textId="77777777" w:rsidR="007A2EED" w:rsidRDefault="007A2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F509E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27DC51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margin-left:0;margin-top:0;width:201.05pt;height:147.5pt;z-index:-251656704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C6D39" w14:textId="77777777" w:rsidR="00B80655" w:rsidRDefault="00000000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  <w:r>
      <w:rPr>
        <w:noProof/>
        <w:color w:val="000000"/>
      </w:rPr>
      <w:drawing>
        <wp:anchor distT="0" distB="0" distL="0" distR="0" simplePos="0" relativeHeight="251655680" behindDoc="1" locked="0" layoutInCell="1" hidden="0" allowOverlap="1" wp14:anchorId="4A3CBEC8" wp14:editId="176FED6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6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96729D5" w14:textId="77777777" w:rsidR="00B80655" w:rsidRDefault="00B80655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</w:p>
  <w:p w14:paraId="55BC8940" w14:textId="77777777" w:rsidR="00B80655" w:rsidRDefault="00B80655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</w:p>
  <w:p w14:paraId="3CEA30EB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BF34D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7" type="#_x0000_t75" alt="" style="position:absolute;margin-left:0;margin-top:0;width:201.05pt;height:147.5pt;z-index:-251658752;mso-position-horizontal:center;mso-position-horizontal-relative:margin;mso-position-vertical:center;mso-position-vertical-relative:margin">
          <v:imagedata r:id="rId2" o:title="image3"/>
          <w10:wrap anchorx="margin" anchory="margin"/>
        </v:shape>
      </w:pict>
    </w:r>
  </w:p>
  <w:p w14:paraId="7F638AF2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14C61">
      <w:rPr>
        <w:noProof/>
        <w:color w:val="000000"/>
      </w:rPr>
      <w:t>1</w:t>
    </w:r>
    <w:r>
      <w:rPr>
        <w:color w:val="00000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E1A9A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369DF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201.05pt;height:147.5pt;z-index:-25165772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53AAD"/>
    <w:multiLevelType w:val="multilevel"/>
    <w:tmpl w:val="6B4264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C784BD9"/>
    <w:multiLevelType w:val="multilevel"/>
    <w:tmpl w:val="135AB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79D7ABA"/>
    <w:multiLevelType w:val="multilevel"/>
    <w:tmpl w:val="E4320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9320D8"/>
    <w:multiLevelType w:val="hybridMultilevel"/>
    <w:tmpl w:val="CB2CF58C"/>
    <w:lvl w:ilvl="0" w:tplc="4DFC1E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1D01A2"/>
    <w:multiLevelType w:val="hybridMultilevel"/>
    <w:tmpl w:val="5E8C82C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3531045">
    <w:abstractNumId w:val="0"/>
  </w:num>
  <w:num w:numId="2" w16cid:durableId="71856121">
    <w:abstractNumId w:val="1"/>
  </w:num>
  <w:num w:numId="3" w16cid:durableId="1814784898">
    <w:abstractNumId w:val="3"/>
  </w:num>
  <w:num w:numId="4" w16cid:durableId="1456604788">
    <w:abstractNumId w:val="4"/>
  </w:num>
  <w:num w:numId="5" w16cid:durableId="19566680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655"/>
    <w:rsid w:val="00023711"/>
    <w:rsid w:val="000B7836"/>
    <w:rsid w:val="000E448F"/>
    <w:rsid w:val="000E5661"/>
    <w:rsid w:val="000F60E1"/>
    <w:rsid w:val="00102C40"/>
    <w:rsid w:val="001109E6"/>
    <w:rsid w:val="00114776"/>
    <w:rsid w:val="00123D90"/>
    <w:rsid w:val="0015440D"/>
    <w:rsid w:val="001B38AD"/>
    <w:rsid w:val="001F6209"/>
    <w:rsid w:val="0020013B"/>
    <w:rsid w:val="002057A6"/>
    <w:rsid w:val="0022412F"/>
    <w:rsid w:val="002A266E"/>
    <w:rsid w:val="002D37C5"/>
    <w:rsid w:val="00315C25"/>
    <w:rsid w:val="0034549E"/>
    <w:rsid w:val="003C2B99"/>
    <w:rsid w:val="003D0BF8"/>
    <w:rsid w:val="00430224"/>
    <w:rsid w:val="004771BA"/>
    <w:rsid w:val="00487F16"/>
    <w:rsid w:val="004B0D5B"/>
    <w:rsid w:val="004E520E"/>
    <w:rsid w:val="00514C61"/>
    <w:rsid w:val="00520D93"/>
    <w:rsid w:val="00566483"/>
    <w:rsid w:val="005E4A98"/>
    <w:rsid w:val="006102AC"/>
    <w:rsid w:val="00634BAE"/>
    <w:rsid w:val="00647F36"/>
    <w:rsid w:val="00672B12"/>
    <w:rsid w:val="00675259"/>
    <w:rsid w:val="00683446"/>
    <w:rsid w:val="00705FA7"/>
    <w:rsid w:val="00745EBA"/>
    <w:rsid w:val="00766C7B"/>
    <w:rsid w:val="007A2EED"/>
    <w:rsid w:val="007F2482"/>
    <w:rsid w:val="0080442D"/>
    <w:rsid w:val="008B5E21"/>
    <w:rsid w:val="008C2ACB"/>
    <w:rsid w:val="00900BA7"/>
    <w:rsid w:val="009553C1"/>
    <w:rsid w:val="009759A9"/>
    <w:rsid w:val="009D019A"/>
    <w:rsid w:val="009E3A7B"/>
    <w:rsid w:val="00A42EFF"/>
    <w:rsid w:val="00A57195"/>
    <w:rsid w:val="00AB026E"/>
    <w:rsid w:val="00AF435C"/>
    <w:rsid w:val="00B14542"/>
    <w:rsid w:val="00B34908"/>
    <w:rsid w:val="00B80655"/>
    <w:rsid w:val="00BA24AC"/>
    <w:rsid w:val="00BB6294"/>
    <w:rsid w:val="00BF0C9F"/>
    <w:rsid w:val="00C20D64"/>
    <w:rsid w:val="00C83405"/>
    <w:rsid w:val="00CC2E1E"/>
    <w:rsid w:val="00CE6E33"/>
    <w:rsid w:val="00D86BC0"/>
    <w:rsid w:val="00E03925"/>
    <w:rsid w:val="00E333A2"/>
    <w:rsid w:val="00E74D17"/>
    <w:rsid w:val="00E8618A"/>
    <w:rsid w:val="00EF3EBD"/>
    <w:rsid w:val="00F0732C"/>
    <w:rsid w:val="00F86259"/>
    <w:rsid w:val="00FC1564"/>
    <w:rsid w:val="00FC3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8531A3"/>
  <w15:docId w15:val="{E3F627C1-241A-41E2-9FE4-846F8128F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22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771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71FC"/>
  </w:style>
  <w:style w:type="paragraph" w:styleId="Piedepgina">
    <w:name w:val="footer"/>
    <w:basedOn w:val="Normal"/>
    <w:link w:val="PiedepginaCar"/>
    <w:uiPriority w:val="99"/>
    <w:unhideWhenUsed/>
    <w:rsid w:val="00E771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1FC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ipervnculo">
    <w:name w:val="Hyperlink"/>
    <w:basedOn w:val="Fuentedeprrafopredeter"/>
    <w:uiPriority w:val="99"/>
    <w:unhideWhenUsed/>
    <w:rsid w:val="00FC3F7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C3F7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4771BA"/>
    <w:pPr>
      <w:ind w:left="720"/>
      <w:contextualSpacing/>
    </w:pPr>
  </w:style>
  <w:style w:type="paragraph" w:styleId="Sinespaciado">
    <w:name w:val="No Spacing"/>
    <w:uiPriority w:val="1"/>
    <w:qFormat/>
    <w:rsid w:val="00315C2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Cautelar 1913000904 — para completar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