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1915000914 — OBLIGACIÓN No. 10-1915000914.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EDYSON URREGO CRUZ, C.C. No. 80.157.227, firmante [COMPLETAR — CALIDAD INDIVIDUAL ACREDITADA Y ALCANCE DE LA OBLIGACIÓN]; y MARÍA VICTORIA MARIÑO BEDOYA, C.C. No. 52.972.794,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1915000914,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$5.727.835, intereses de plazo de $1.621.249 y mora de $1.775.110, para un total de $9.124.194. Como controles de trabajo —sin costas estimadas—, el doble equivale a $18.248.388 para revisar el límite general del artículo 599 del CGP, mientras el 150 % equivale a $13.686.291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1915000914.pdf»; «EXTRACTO 80157227.PDF»; «CC 80157227 PAGARE 1915000914.pdf».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$18.248.388 para el techo general de revisión y $13.686.291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1915000914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