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8"/>
          <w:szCs w:val="28"/>
          <w:color w:val="C00000"/>
          <w:b w:val="1"/>
        </w:rPr>
        <w:t xml:space="preserve">PARA COMPLETAR Y REVISAR — NO RADICAR, NO FIRMAR Y NO OFICIAR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Este escrito contiene módulos alternativos. El abogado debe conservar únicamente la medida sustentada por prueba actual, eliminar todas las demás y reemplazar cada marcador entre corchetes.</w:t>
      </w:r>
    </w:p>
    <w:p w14:paraId="6615815D" w14:textId="77777777" w:rsidR="00B34908" w:rsidRDefault="00B34908" w:rsidP="00B34908">
      <w:pPr>
        <w:pStyle w:val="Sinespaciado"/>
        <w:jc w:val="right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CIUDAD], [COMPLETAR — FECHA REAL DE PRESENTACIÓN]</w:t>
      </w:r>
    </w:p>
    <w:p w14:paraId="1221D13D" w14:textId="42C47453" w:rsidR="00315C25" w:rsidRPr="00315C2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 w:val="1"/>
          <w:bCs w:val="1"/>
          <w:sz w:val="24"/>
          <w:szCs w:val="24"/>
          <w:color w:val="C00000"/>
        </w:rPr>
        <w:t xml:space="preserve">SEÑOR JUEZ CIVIL COMPETENTE DE [COMPLETAR — CIUDAD Y DESPACHO] (REPARTO)</w:t>
      </w:r>
    </w:p>
    <w:p w14:paraId="0F02F8CF" w14:textId="088930CD" w:rsidR="00B80655" w:rsidRDefault="00000000" w:rsidP="00315C25">
      <w:pPr>
        <w:pStyle w:val="Sinespaciado"/>
        <w:rPr>
          <w:rFonts w:ascii="Arial" w:hAnsi="Arial" w:cs="Arial"/>
          <w:b/>
          <w:bCs/>
          <w:sz w:val="24"/>
          <w:szCs w:val="24"/>
        </w:rPr>
      </w:pPr>
      <w:r>
        <w:rPr>
          <w:rFonts w:ascii="Arial" w:hAnsi="Arial" w:cs="Arial"/>
          <w:b/>
          <w:bCs/>
          <w:sz w:val="24"/>
          <w:szCs w:val="24"/>
        </w:rPr>
        <w:t xml:space="preserve">E. S. D.</w:t>
      </w:r>
    </w:p>
    <w:p w14:paraId="6F516933" w14:textId="213DC89C" w:rsidR="00430224" w:rsidRPr="008C2ACB" w:rsidRDefault="00430224" w:rsidP="00430224">
      <w:pPr>
        <w:widowControl w:val="0"/>
        <w:spacing w:before="240" w:after="240" w:line="276" w:lineRule="auto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REFERENCIA: SOLICITUD DE MEDIDA CAUTELAR PREVIA — PAGARÉ No. 1915000921 — OBLIGACIÓN No. 10-1915000921.</w:t>
      </w:r>
    </w:p>
    <w:p w14:paraId="316CCFB8" w14:textId="77777777" w:rsidR="00430224" w:rsidRPr="00430224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DEMANDANTE: COOPERATIVA DE AHORRO Y CRÉDITO CREAR LTDA. — CREARCOOP, NIT 890.981.459-4. [CONFRONTAR RAZÓN SOCIAL CON CERTIFICADO VIGENTE].</w:t>
      </w:r>
    </w:p>
    <w:p w14:paraId="14A10AD0" w14:textId="77777777" w:rsidR="00023711" w:rsidRPr="00B34908" w:rsidRDefault="00000000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color w:val="C00000"/>
          <w:sz w:val="24"/>
          <w:szCs w:val="24"/>
        </w:rPr>
        <w:t xml:space="preserve">DEMANDADOS: MARÍA FERNANDA RODRÍGUEZ PINZÓN, C.C. No. 1.019.091.195, firmante [COMPLETAR — CALIDAD INDIVIDUAL ACREDITADA Y ALCANCE DE LA OBLIGACIÓN].</w:t>
      </w:r>
    </w:p>
    <w:p w14:paraId="57DF36AE" w14:textId="5CA8234D" w:rsidR="00430224" w:rsidRPr="00B34908" w:rsidRDefault="004771BA" w:rsidP="00315C25">
      <w:pPr>
        <w:widowControl w:val="0"/>
        <w:spacing w:after="0" w:line="276" w:lineRule="auto"/>
        <w:jc w:val="both"/>
        <w:rPr>
          <w:rFonts w:ascii="Arial" w:eastAsia="Arial" w:hAnsi="Arial" w:cs="Arial"/>
          <w:sz w:val="24"/>
          <w:szCs w:val="24"/>
        </w:rPr>
      </w:pPr>
      <w:r>
        <w:rPr>
          <w:rFonts w:ascii="Arial" w:eastAsia="Arial" w:hAnsi="Arial" w:cs="Arial"/>
          <w:color w:val="C00000"/>
          <w:sz w:val="24"/>
          <w:szCs w:val="24"/>
          <w:b w:val="1"/>
          <w:bCs w:val="1"/>
        </w:rPr>
        <w:t xml:space="preserve">APODERADA: [COMPLETAR — NOMBRE, C.C., T.P., CORREO RNA Y CADENA DE PERSONERÍA VÁLIDA].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[DECISIÓN DEL ABOGADO — CONSERVAR UNA SOLA RUTA ACREDITADA: (A) poder directo de CREARCOOP a la abogada; o (B) poder de CREARCOOP a ABOGADOS EN COLOMBIA S.A.S. y representación, sustitución o designación válida de la abogada].</w:t>
      </w:r>
    </w:p>
    <w:p w14:paraId="43D205AE" w14:textId="64526759" w:rsidR="00430224" w:rsidRDefault="008C2ACB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APODERADA Y RUTA DE PERSONERÍA], actuando por COOPERATIVA DE AHORRO Y CRÉDITO CREAR LTDA. — CREARCOOP, dentro del proceso ejecutivo fundado en el pagaré No. 1915000921, solicita únicamente la medida o medidas que permanezcan después de la depuración de este escrito.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I. BASE PROVISIONAL Y PROPORCIONALIDAD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El extracto histórico al 6 de julio de 2026 informa capital de $5.023.587, intereses de plazo de $1.260.935 y mora de $1.984.881, para un total de $8.269.403. Como controles de trabajo —sin costas estimadas—, el doble equivale a $16.538.806 para revisar el límite general del artículo 599 del CGP, mientras el 150 % equivale a $12.404.105 —calculado con Decimal y redondeado al peso superior cuando arroja fracción— como referencia incompleta para el límite especial de depósitos del artículo 593.10. Deben actualizarse crédito, intereses, costas, valor del bien y límite aplicable; ninguna referencia se solicita automáticamente.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Pista documental: No se encontró en la auditoría una fuente actual de activo individualizado. [COMPLETAR — IDENTIFICAR ACTIVO ACTUAL Y APORTAR FUENTE].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BF9000"/>
        </w:rPr>
        <w:t xml:space="preserve">Trazabilidad interna: «PAGARÉ 1915000921.pdf»; «EXTRACTO 1019091195.PDF»; «CC 1019091195 PAGARE 1915000921.pdf». [INDIZAR PÁGINA EXACTA, FECHA Y VIGENCIA DEL ACTIVO; ELIMINAR ESTA NOTA EN LA COPIA PARA FIRMA].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EXPLICAR necesidad, idoneidad, proporcionalidad, titular demandado, fuente actual, gravámenes, embargos preferentes, inembargabilidad y límite solicitado].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II. MÓDULOS DE MEDIDA — CONSERVAR SOLO LOS SOPORTADOS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A — SALARIO U HONORARIOS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Decretar, según la naturaleza acreditada del ingreso, el embargo y retención de la porción legalmente embargable de los salarios o emolumentos que [DEMANDADO Y C.C.] percibe de [EMPLEADOR/PAGADOR EXACTO, NIT, DIRECCIÓN Y CORREO OFICIAL], conforme a [CERTIFICADO O FUENTE DE FECHA]. Si se trata de honorarios, justificar su régimen y no aplicar automáticamente el porcentaje salarial. Indicar porcentaje o suma concreta, mínimo vital, preferencias y límite global.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B — MESADA PENSIONAL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PRUEBA ACTUAL] Decretar el embargo dentro del límite legal de la mesada neta de [DEMANDADO Y C.C.], pagada por [ENTIDAD EXACTA Y CANAL], acreditada mediante [DOCUMENTO, FECHA, VALOR NETO Y DEDUCCIONES]. Motivar porcentaje concreto, mínimo vital y preferencias. No oficiar indiscriminadamente a todos los fondos.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C — PRODUCTO FINANCIERO INDIVIDUALIZADO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FUENTE ACTUAL] Decretar el embargo y retención de los dineros de titularidad de [DEMANDADO Y C.C.] en [ENTIDAD EXACTA], producto [TIPO Y ÚLTIMOS CUATRO DÍGITOS], conocido por [FUENTE Y FECHA], hasta [LÍMITE NUMÉRICO]. Respetar la inembargabilidad aplicable y excluir depósitos de terceros. No sustituir por una lista general de bancos.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D — INMUEBLE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CERTIFICADO ACTUAL] Decretar el embargo del derecho de dominio de [DEMANDADO Y C.C.] sobre el inmueble matrícula [NÚMERO], ORIP [OFICINA], dirección [DIRECCIÓN], porcentaje [●], conforme al certificado de tradición de [FECHA/CÓDIGO]. Comunicar por el canal oficial de la ORIP; solicitar secuestro únicamente después de inscrito el embargo.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E — VEHÍCULO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RUNT/TRÁNSITO ACTUAL] Decretar el embargo del vehículo placa [PLACA], clase [●], marca [●], línea [●], modelo [●], VIN/chasis/motor [●], registrado a nombre de [DEMANDADO Y C.C.] en [ORGANISMO], según certificado de [FECHA/CÓDIGO]. Comunicar a la autoridad competente y solicitar secuestro/aprehensión solo después de inscrito el embargo y definida la ruta legal. [ELIMINAR SI NO HAY SOPORTE].</w:t>
      </w:r>
    </w:p>
    <w:p w14:paraId="2EAE8415" w14:textId="26808515" w:rsidR="004771BA" w:rsidRDefault="004771BA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 w:val="1"/>
          <w:sz w:val="24"/>
          <w:szCs w:val="24"/>
          <w:color w:val="C00000"/>
          <w:bCs w:val="1"/>
        </w:rPr>
        <w:t xml:space="preserve">MÓDULO F — CRÉDITO, DERECHO ECONÓMICO O REMANENTE</w:t>
      </w:r>
    </w:p>
    <w:p w14:paraId="0D14C1AA" w14:textId="795532DA" w:rsidR="009553C1" w:rsidRPr="009553C1" w:rsidRDefault="009553C1" w:rsidP="009553C1">
      <w:pPr>
        <w:pStyle w:val="Prrafodelista"/>
        <w:widowControl w:val="0"/>
        <w:spacing w:before="240" w:after="240" w:line="276" w:lineRule="auto"/>
        <w:jc w:val="both"/>
        <w:rPr>
          <w:rFonts w:ascii="Arial" w:eastAsia="Arial" w:hAnsi="Arial" w:cs="Arial"/>
          <w:b/>
          <w:sz w:val="24"/>
          <w:szCs w:val="24"/>
        </w:rPr>
      </w:pPr>
      <w:r>
        <w:rPr>
          <w:rFonts w:ascii="Arial" w:eastAsia="Arial" w:hAnsi="Arial" w:cs="Arial"/>
          <w:b/>
          <w:sz w:val="24"/>
          <w:szCs w:val="24"/>
          <w:color w:val="C00000"/>
        </w:rPr>
        <w:t xml:space="preserve">[CONSERVAR SOLO CON INDIVIDUALIZACIÓN] Decretar el embargo del crédito o derecho que [TERCERO EXACTO, NIT Y CANAL] adeuda a [DEMANDADO Y C.C.] por [CONTRATO/FACTURA/CAUSA, FECHA, MONTO Y VENCIMIENTO], o del remanente dentro del proceso [JUZGADO, RADICADO, PARTES Y ESTADO], hasta [LÍMITE]. [ELIMINAR SI NO HAY SOPORTE].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III. SOLICITUDES FINALES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PRIMERA. Decretar exclusivamente la medida o medidas individualizadas que hayan quedado en la sección II después de eliminar los módulos no soportados.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SEGUNDA. Fijar como límite [COMPLETAR — LÍMITE ACTUAL MOTIVADO SEGÚN EL ACTIVO]. Controles internos históricos sin costas: $16.538.806 para el techo general de revisión y $12.404.105 para la referencia especial de depósitos; aplicar la regla pertinente y el valor probado del bien, sin convertir estos máximos en una solicitud automática.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TERCERA. Librar únicamente los oficios dirigidos a la entidad, autoridad o tercero plenamente identificado, por su canal oficial verificado.</w:t>
      </w:r>
    </w:p>
    <w:p w14:paraId="4C1F2240" w14:textId="33C92230" w:rsidR="00514C61" w:rsidRPr="00430224" w:rsidRDefault="00BA24AC" w:rsidP="00430224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CUARTA. Tramitar la solicitud por separado y, si se decreta, cumplir inmediatamente la medida antes de notificar a la parte contraria, conforme al artículo 298 del Código General del Proceso, sin pedir una reserva distinta de la prevista por la ley.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IV. FUNDAMENTOS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Artículos 298, 593, 594, 599, 600 y 601 del Código General del Proceso; Ley 2213 de 2022 y normas específicas del activo finalmente seleccionado. [AGREGAR SOLO LA NORMA ESPECIAL PERTINENTE Y VERIFICADA].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V. ANEXOS ESPECÍFICOS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1. Liquidación actual y cálculo del límite.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2. Certificado o fuente actual de titularidad e individualización del activo.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3. Avalúo, gravámenes, preferencias e inembargabilidad, cuando correspondan.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4. Poder y personería aportados con la demanda.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[ENUMERAR NOMBRES EXACTOS, FECHA Y PÁGINAS; ELIMINAR ANEXOS INEXISTENTES].</w:t>
      </w:r>
    </w:p>
    <w:p w14:paraId="35C6EB73" w14:textId="17834383" w:rsidR="0020013B" w:rsidRDefault="00430224" w:rsidP="004771BA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  <w:keepNext w:val="1"/>
      </w:pPr>
      <w:r>
        <w:rPr>
          <w:rFonts w:ascii="Arial" w:eastAsia="Arial" w:hAnsi="Arial" w:cs="Arial"/>
          <w:bCs w:val="1"/>
          <w:sz w:val="24"/>
          <w:szCs w:val="24"/>
          <w:b w:val="1"/>
        </w:rPr>
        <w:t xml:space="preserve">VI. CONTROL HUMANO OBLIGATORIO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Buscar y reemplazar todos los corchetes; conservar una sola opción por activo probado; actualizar titularidad, saldo, límite y canales el día de presentar; verificar medidas previas e insolvencia; eliminar toda búsqueda indiscriminada y revisar proporcionalidad como juez y contraparte.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</w:rPr>
        <w:t xml:space="preserve">Atentamente,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 w:val="1"/>
          <w:sz w:val="24"/>
          <w:szCs w:val="24"/>
          <w:color w:val="C00000"/>
          <w:b w:val="1"/>
        </w:rPr>
        <w:t xml:space="preserve">[COMPLETAR — NOMBRE DE LA ABOGADA CON PERSONERÍA]</w:t>
      </w:r>
    </w:p>
    <w:p w14:paraId="450AA27B" w14:textId="77777777" w:rsidR="00BA24AC" w:rsidRPr="00BA24AC" w:rsidRDefault="00BA24AC" w:rsidP="00BA24AC">
      <w:pPr>
        <w:widowControl w:val="0"/>
        <w:spacing w:before="240" w:after="240" w:line="276" w:lineRule="auto"/>
        <w:jc w:val="both"/>
        <w:rPr>
          <w:rFonts w:ascii="Arial" w:eastAsia="Arial" w:hAnsi="Arial" w:cs="Arial"/>
          <w:bCs/>
          <w:sz w:val="24"/>
          <w:szCs w:val="24"/>
        </w:rPr>
      </w:pPr>
      <w:r>
        <w:rPr>
          <w:rFonts w:ascii="Arial" w:eastAsia="Arial" w:hAnsi="Arial" w:cs="Arial"/>
          <w:bCs/>
          <w:sz w:val="24"/>
          <w:szCs w:val="24"/>
          <w:color w:val="C00000"/>
        </w:rPr>
        <w:t xml:space="preserve">[COMPLETAR — C.C., T.P., CORREO RNA Y CALIDAD]</w:t>
      </w:r>
    </w:p>
    <w:sectPr w:rsidR="00B80655" w:rsidRPr="00CC2E1E">
      <w:headerReference w:type="even" r:id="rId8"/>
      <w:headerReference w:type="default" r:id="rId9"/>
      <w:footerReference w:type="default" r:id="rId10"/>
      <w:headerReference w:type="first" r:id="rId11"/>
      <w:pgSz w:w="12240" w:h="20160"/>
      <w:pgMar w:top="2127" w:right="1701" w:bottom="1417" w:left="1700" w:header="0" w:footer="163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9CE278E" w14:textId="77777777" w:rsidR="007A2EED" w:rsidRDefault="007A2EED">
      <w:pPr>
        <w:spacing w:after="0" w:line="240" w:lineRule="auto"/>
      </w:pPr>
      <w:r>
        <w:separator/>
      </w:r>
    </w:p>
  </w:endnote>
  <w:endnote w:type="continuationSeparator" w:id="0">
    <w:p w14:paraId="7A4F5275" w14:textId="77777777" w:rsidR="007A2EED" w:rsidRDefault="007A2EE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65A40F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ind w:left="-1701"/>
      <w:rPr>
        <w:color w:val="000000"/>
      </w:rPr>
    </w:pPr>
    <w:r>
      <w:rPr>
        <w:noProof/>
      </w:rPr>
      <w:drawing>
        <wp:anchor distT="0" distB="0" distL="114300" distR="114300" simplePos="0" relativeHeight="251656704" behindDoc="0" locked="0" layoutInCell="1" hidden="0" allowOverlap="1" wp14:anchorId="7FF9B315" wp14:editId="295816A7">
          <wp:simplePos x="0" y="0"/>
          <wp:positionH relativeFrom="column">
            <wp:posOffset>-1070535</wp:posOffset>
          </wp:positionH>
          <wp:positionV relativeFrom="paragraph">
            <wp:posOffset>66675</wp:posOffset>
          </wp:positionV>
          <wp:extent cx="7753350" cy="1493520"/>
          <wp:effectExtent l="0" t="0" r="0" b="0"/>
          <wp:wrapNone/>
          <wp:docPr id="63" name="image4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4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753350" cy="149352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4453AC04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  <w:p w14:paraId="58FAE3C1" w14:textId="77777777" w:rsidR="00B80655" w:rsidRDefault="00B80655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F498F2B" w14:textId="77777777" w:rsidR="007A2EED" w:rsidRDefault="007A2EED">
      <w:pPr>
        <w:spacing w:after="0" w:line="240" w:lineRule="auto"/>
      </w:pPr>
      <w:r>
        <w:separator/>
      </w:r>
    </w:p>
  </w:footnote>
  <w:footnote w:type="continuationSeparator" w:id="0">
    <w:p w14:paraId="42207DF4" w14:textId="77777777" w:rsidR="007A2EED" w:rsidRDefault="007A2EE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E7F509E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27DC51D9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" o:spid="_x0000_s1025" type="#_x0000_t75" alt="" style="position:absolute;margin-left:0;margin-top:0;width:201.05pt;height:147.5pt;z-index:-251656704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E2C6D39" w14:textId="77777777" w:rsidR="00B80655" w:rsidRDefault="00000000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  <w:r>
      <w:rPr>
        <w:noProof/>
        <w:color w:val="000000"/>
      </w:rPr>
      <w:drawing>
        <wp:anchor distT="0" distB="0" distL="0" distR="0" simplePos="0" relativeHeight="251655680" behindDoc="1" locked="0" layoutInCell="1" hidden="0" allowOverlap="1" wp14:anchorId="4A3CBEC8" wp14:editId="176FED67">
          <wp:simplePos x="0" y="0"/>
          <wp:positionH relativeFrom="page">
            <wp:align>left</wp:align>
          </wp:positionH>
          <wp:positionV relativeFrom="page">
            <wp:align>top</wp:align>
          </wp:positionV>
          <wp:extent cx="3743325" cy="1604963"/>
          <wp:effectExtent l="0" t="0" r="0" b="0"/>
          <wp:wrapNone/>
          <wp:docPr id="62" name="image2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3743325" cy="1604963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  <w:p w14:paraId="096729D5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55BC8940" w14:textId="77777777" w:rsidR="00B80655" w:rsidRDefault="00B80655">
    <w:pPr>
      <w:spacing w:after="0" w:line="240" w:lineRule="auto"/>
      <w:rPr>
        <w:rFonts w:ascii="Arial" w:eastAsia="Arial" w:hAnsi="Arial" w:cs="Arial"/>
        <w:b/>
        <w:color w:val="000000"/>
        <w:sz w:val="28"/>
        <w:szCs w:val="28"/>
      </w:rPr>
    </w:pPr>
  </w:p>
  <w:p w14:paraId="3CEA30EB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BF34DB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1" o:spid="_x0000_s1027" type="#_x0000_t75" alt="" style="position:absolute;margin-left:0;margin-top:0;width:201.05pt;height:147.5pt;z-index:-251658752;mso-position-horizontal:center;mso-position-horizontal-relative:margin;mso-position-vertical:center;mso-position-vertical-relative:margin">
          <v:imagedata r:id="rId2" o:title="image3"/>
          <w10:wrap anchorx="margin" anchory="margin"/>
        </v:shape>
      </w:pict>
    </w:r>
  </w:p>
  <w:p w14:paraId="7F638AF2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jc w:val="right"/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separate"/>
    </w:r>
    <w:r w:rsidR="00514C61">
      <w:rPr>
        <w:noProof/>
        <w:color w:val="000000"/>
      </w:rPr>
      <w:t>1</w:t>
    </w:r>
    <w:r>
      <w:rPr>
        <w:color w:val="000000"/>
      </w:rPr>
      <w:fldChar w:fldCharType="end"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F1E1A9A" w14:textId="77777777" w:rsidR="00B80655" w:rsidRDefault="00000000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spacing w:after="0" w:line="240" w:lineRule="auto"/>
      <w:rPr>
        <w:color w:val="000000"/>
      </w:rPr>
    </w:pPr>
    <w:r>
      <w:rPr>
        <w:color w:val="000000"/>
      </w:rPr>
      <w:pict w14:anchorId="3369DF68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" o:spid="_x0000_s1026" type="#_x0000_t75" alt="" style="position:absolute;margin-left:0;margin-top:0;width:201.05pt;height:147.5pt;z-index:-251657728;mso-position-horizontal:center;mso-position-horizontal-relative:margin;mso-position-vertical:center;mso-position-vertical-relative:margin">
          <v:imagedata r:id="rId1" o:title="image3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32453AAD"/>
    <w:multiLevelType w:val="multilevel"/>
    <w:tmpl w:val="6B4264C6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C784BD9"/>
    <w:multiLevelType w:val="multilevel"/>
    <w:tmpl w:val="135AB20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579D7ABA"/>
    <w:multiLevelType w:val="multilevel"/>
    <w:tmpl w:val="E43202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649320D8"/>
    <w:multiLevelType w:val="hybridMultilevel"/>
    <w:tmpl w:val="CB2CF58C"/>
    <w:lvl w:ilvl="0" w:tplc="4DFC1ECC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731D01A2"/>
    <w:multiLevelType w:val="hybridMultilevel"/>
    <w:tmpl w:val="5E8C82C0"/>
    <w:lvl w:ilvl="0" w:tplc="240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40A0019" w:tentative="1">
      <w:start w:val="1"/>
      <w:numFmt w:val="lowerLetter"/>
      <w:lvlText w:val="%2."/>
      <w:lvlJc w:val="left"/>
      <w:pPr>
        <w:ind w:left="1440" w:hanging="360"/>
      </w:pPr>
    </w:lvl>
    <w:lvl w:ilvl="2" w:tplc="240A001B" w:tentative="1">
      <w:start w:val="1"/>
      <w:numFmt w:val="lowerRoman"/>
      <w:lvlText w:val="%3."/>
      <w:lvlJc w:val="right"/>
      <w:pPr>
        <w:ind w:left="2160" w:hanging="180"/>
      </w:pPr>
    </w:lvl>
    <w:lvl w:ilvl="3" w:tplc="240A000F" w:tentative="1">
      <w:start w:val="1"/>
      <w:numFmt w:val="decimal"/>
      <w:lvlText w:val="%4."/>
      <w:lvlJc w:val="left"/>
      <w:pPr>
        <w:ind w:left="2880" w:hanging="360"/>
      </w:pPr>
    </w:lvl>
    <w:lvl w:ilvl="4" w:tplc="240A0019" w:tentative="1">
      <w:start w:val="1"/>
      <w:numFmt w:val="lowerLetter"/>
      <w:lvlText w:val="%5."/>
      <w:lvlJc w:val="left"/>
      <w:pPr>
        <w:ind w:left="3600" w:hanging="360"/>
      </w:pPr>
    </w:lvl>
    <w:lvl w:ilvl="5" w:tplc="240A001B" w:tentative="1">
      <w:start w:val="1"/>
      <w:numFmt w:val="lowerRoman"/>
      <w:lvlText w:val="%6."/>
      <w:lvlJc w:val="right"/>
      <w:pPr>
        <w:ind w:left="4320" w:hanging="180"/>
      </w:pPr>
    </w:lvl>
    <w:lvl w:ilvl="6" w:tplc="240A000F" w:tentative="1">
      <w:start w:val="1"/>
      <w:numFmt w:val="decimal"/>
      <w:lvlText w:val="%7."/>
      <w:lvlJc w:val="left"/>
      <w:pPr>
        <w:ind w:left="5040" w:hanging="360"/>
      </w:pPr>
    </w:lvl>
    <w:lvl w:ilvl="7" w:tplc="240A0019" w:tentative="1">
      <w:start w:val="1"/>
      <w:numFmt w:val="lowerLetter"/>
      <w:lvlText w:val="%8."/>
      <w:lvlJc w:val="left"/>
      <w:pPr>
        <w:ind w:left="5760" w:hanging="360"/>
      </w:pPr>
    </w:lvl>
    <w:lvl w:ilvl="8" w:tplc="24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013531045">
    <w:abstractNumId w:val="0"/>
  </w:num>
  <w:num w:numId="2" w16cid:durableId="71856121">
    <w:abstractNumId w:val="1"/>
  </w:num>
  <w:num w:numId="3" w16cid:durableId="1814784898">
    <w:abstractNumId w:val="3"/>
  </w:num>
  <w:num w:numId="4" w16cid:durableId="1456604788">
    <w:abstractNumId w:val="4"/>
  </w:num>
  <w:num w:numId="5" w16cid:durableId="1956668045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80655"/>
    <w:rsid w:val="00023711"/>
    <w:rsid w:val="000B7836"/>
    <w:rsid w:val="000E448F"/>
    <w:rsid w:val="000E5661"/>
    <w:rsid w:val="000F60E1"/>
    <w:rsid w:val="00102C40"/>
    <w:rsid w:val="001109E6"/>
    <w:rsid w:val="00114776"/>
    <w:rsid w:val="00123D90"/>
    <w:rsid w:val="0015440D"/>
    <w:rsid w:val="001B38AD"/>
    <w:rsid w:val="001F6209"/>
    <w:rsid w:val="0020013B"/>
    <w:rsid w:val="002057A6"/>
    <w:rsid w:val="0022412F"/>
    <w:rsid w:val="002A266E"/>
    <w:rsid w:val="002D37C5"/>
    <w:rsid w:val="00315C25"/>
    <w:rsid w:val="0034549E"/>
    <w:rsid w:val="003C2B99"/>
    <w:rsid w:val="003D0BF8"/>
    <w:rsid w:val="00430224"/>
    <w:rsid w:val="004771BA"/>
    <w:rsid w:val="00487F16"/>
    <w:rsid w:val="004B0D5B"/>
    <w:rsid w:val="004E520E"/>
    <w:rsid w:val="00514C61"/>
    <w:rsid w:val="00520D93"/>
    <w:rsid w:val="00566483"/>
    <w:rsid w:val="005E4A98"/>
    <w:rsid w:val="006102AC"/>
    <w:rsid w:val="00634BAE"/>
    <w:rsid w:val="00647F36"/>
    <w:rsid w:val="00672B12"/>
    <w:rsid w:val="00675259"/>
    <w:rsid w:val="00683446"/>
    <w:rsid w:val="00705FA7"/>
    <w:rsid w:val="00745EBA"/>
    <w:rsid w:val="00766C7B"/>
    <w:rsid w:val="007A2EED"/>
    <w:rsid w:val="007F2482"/>
    <w:rsid w:val="0080442D"/>
    <w:rsid w:val="008B5E21"/>
    <w:rsid w:val="008C2ACB"/>
    <w:rsid w:val="00900BA7"/>
    <w:rsid w:val="009553C1"/>
    <w:rsid w:val="009759A9"/>
    <w:rsid w:val="009D019A"/>
    <w:rsid w:val="009E3A7B"/>
    <w:rsid w:val="00A42EFF"/>
    <w:rsid w:val="00A57195"/>
    <w:rsid w:val="00AB026E"/>
    <w:rsid w:val="00AF435C"/>
    <w:rsid w:val="00B14542"/>
    <w:rsid w:val="00B34908"/>
    <w:rsid w:val="00B80655"/>
    <w:rsid w:val="00BA24AC"/>
    <w:rsid w:val="00BB6294"/>
    <w:rsid w:val="00BF0C9F"/>
    <w:rsid w:val="00C20D64"/>
    <w:rsid w:val="00C83405"/>
    <w:rsid w:val="00CC2E1E"/>
    <w:rsid w:val="00CE6E33"/>
    <w:rsid w:val="00D86BC0"/>
    <w:rsid w:val="00E03925"/>
    <w:rsid w:val="00E333A2"/>
    <w:rsid w:val="00E74D17"/>
    <w:rsid w:val="00E8618A"/>
    <w:rsid w:val="00EF3EBD"/>
    <w:rsid w:val="00F0732C"/>
    <w:rsid w:val="00F86259"/>
    <w:rsid w:val="00FC1564"/>
    <w:rsid w:val="00FC3F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58531A3"/>
  <w15:docId w15:val="{E3F627C1-241A-41E2-9FE4-846F8128F08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2"/>
        <w:szCs w:val="22"/>
        <w:lang w:val="es-CO" w:eastAsia="es-CO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30224"/>
  </w:style>
  <w:style w:type="paragraph" w:styleId="Ttulo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0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1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2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3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4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5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6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table" w:customStyle="1" w:styleId="TableNormal7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Encabezado">
    <w:name w:val="header"/>
    <w:basedOn w:val="Normal"/>
    <w:link w:val="Encabezado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771FC"/>
  </w:style>
  <w:style w:type="paragraph" w:styleId="Piedepgina">
    <w:name w:val="footer"/>
    <w:basedOn w:val="Normal"/>
    <w:link w:val="PiedepginaCar"/>
    <w:uiPriority w:val="99"/>
    <w:unhideWhenUsed/>
    <w:rsid w:val="00E771FC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771FC"/>
  </w:style>
  <w:style w:type="paragraph" w:styleId="Subttulo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ipervnculo">
    <w:name w:val="Hyperlink"/>
    <w:basedOn w:val="Fuentedeprrafopredeter"/>
    <w:uiPriority w:val="99"/>
    <w:unhideWhenUsed/>
    <w:rsid w:val="00FC3F7B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FC3F7B"/>
    <w:rPr>
      <w:color w:val="605E5C"/>
      <w:shd w:val="clear" w:color="auto" w:fill="E1DFDD"/>
    </w:rPr>
  </w:style>
  <w:style w:type="paragraph" w:styleId="Prrafodelista">
    <w:name w:val="List Paragraph"/>
    <w:basedOn w:val="Normal"/>
    <w:uiPriority w:val="34"/>
    <w:qFormat/>
    <w:rsid w:val="004771BA"/>
    <w:pPr>
      <w:ind w:left="720"/>
      <w:contextualSpacing/>
    </w:pPr>
  </w:style>
  <w:style w:type="paragraph" w:styleId="Sinespaciado">
    <w:name w:val="No Spacing"/>
    <w:uiPriority w:val="1"/>
    <w:qFormat/>
    <w:rsid w:val="00315C25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eader" Target="header3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1.png"/><Relationship Id="rId1" Type="http://schemas.openxmlformats.org/officeDocument/2006/relationships/image" Target="media/image2.pn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Microsoft Office Word</Application>
  <DocSecurity>0</DocSecurity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Cautelar 1915000921 — para completar — no radicar</dc:title>
  <dc:subject>Estado=NO RADICAR</dc:subject>
  <dc:creator>Equipo jurídico — control interno</dc:creator>
  <cp:lastModifiedBy>Equipo jurídico — control interno</cp:lastModifiedBy>
  <cp:revision>1</cp:revision>
  <dcterms:created xsi:type="dcterms:W3CDTF">2026-07-21T00:00:00Z</dcterms:created>
  <dcterms:modified xsi:type="dcterms:W3CDTF">2026-07-21T00:00:00Z</dcterms:modified>
</cp:coreProperties>
</file>